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BF883D" w14:textId="04A1AABE" w:rsidR="00E81DF6" w:rsidRPr="00164EA3" w:rsidRDefault="00085C45" w:rsidP="00CA7FAF">
      <w:pPr>
        <w:spacing w:after="200" w:line="276" w:lineRule="auto"/>
        <w:jc w:val="both"/>
        <w:rPr>
          <w:rFonts w:ascii="TitilliumText22L Light" w:hAnsi="TitilliumText22L Light" w:cs="Times New Roman"/>
          <w:b/>
          <w:sz w:val="32"/>
          <w:szCs w:val="32"/>
          <w:lang w:val="en-US"/>
        </w:rPr>
      </w:pPr>
      <w:bookmarkStart w:id="0" w:name="_GoBack"/>
      <w:bookmarkEnd w:id="0"/>
      <w:r w:rsidRPr="00164EA3">
        <w:rPr>
          <w:rFonts w:ascii="TitilliumText22L Light" w:hAnsi="TitilliumText22L Light" w:cs="Arial"/>
          <w:b/>
          <w:color w:val="000000"/>
          <w:sz w:val="32"/>
          <w:szCs w:val="32"/>
          <w:lang w:val="en-US"/>
        </w:rPr>
        <w:t>3.1- Seism</w:t>
      </w:r>
      <w:r w:rsidR="00C5721C" w:rsidRPr="00164EA3">
        <w:rPr>
          <w:rFonts w:ascii="TitilliumText22L Light" w:hAnsi="TitilliumText22L Light" w:cs="Arial"/>
          <w:b/>
          <w:color w:val="000000"/>
          <w:sz w:val="32"/>
          <w:szCs w:val="32"/>
          <w:lang w:val="en-US"/>
        </w:rPr>
        <w:t>ic hazard in Sub-Saharan Africa</w:t>
      </w:r>
    </w:p>
    <w:p w14:paraId="26EE8C49" w14:textId="491FF637" w:rsidR="006E6286" w:rsidRPr="00164EA3" w:rsidRDefault="00085C45" w:rsidP="00CA7FAF">
      <w:pPr>
        <w:spacing w:after="200" w:line="276" w:lineRule="auto"/>
        <w:jc w:val="both"/>
        <w:rPr>
          <w:rFonts w:ascii="TitilliumText22L Light" w:hAnsi="TitilliumText22L Light" w:cs="Times New Roman"/>
          <w:b/>
          <w:sz w:val="28"/>
          <w:szCs w:val="28"/>
          <w:lang w:val="en-US"/>
        </w:rPr>
      </w:pPr>
      <w:r w:rsidRPr="00164EA3">
        <w:rPr>
          <w:rFonts w:ascii="TitilliumText22L Light" w:hAnsi="TitilliumText22L Light" w:cs="Arial"/>
          <w:b/>
          <w:color w:val="000000"/>
          <w:sz w:val="28"/>
          <w:szCs w:val="28"/>
          <w:lang w:val="en-US"/>
        </w:rPr>
        <w:t>Introduction</w:t>
      </w:r>
      <w:r w:rsidR="008429D6" w:rsidRPr="00164EA3">
        <w:rPr>
          <w:rFonts w:ascii="TitilliumText22L Light" w:hAnsi="TitilliumText22L Light" w:cs="Arial"/>
          <w:b/>
          <w:color w:val="000000"/>
          <w:sz w:val="28"/>
          <w:szCs w:val="28"/>
          <w:lang w:val="en-US"/>
        </w:rPr>
        <w:t xml:space="preserve"> and Goals</w:t>
      </w:r>
    </w:p>
    <w:p w14:paraId="7233981E" w14:textId="69AF9A72" w:rsidR="006178EE" w:rsidRPr="00CA7FAF" w:rsidRDefault="00C75006" w:rsidP="00CA7FAF">
      <w:pPr>
        <w:spacing w:after="200" w:line="276" w:lineRule="auto"/>
        <w:jc w:val="both"/>
        <w:rPr>
          <w:rFonts w:ascii="TitilliumText22L Light" w:hAnsi="TitilliumText22L Light" w:cs="Arial"/>
          <w:color w:val="000000"/>
          <w:sz w:val="22"/>
          <w:szCs w:val="22"/>
          <w:lang w:val="en-US"/>
        </w:rPr>
      </w:pPr>
      <w:r w:rsidRPr="00CA7FAF">
        <w:rPr>
          <w:rFonts w:ascii="TitilliumText22L Light" w:hAnsi="TitilliumText22L Light" w:cs="Arial"/>
          <w:color w:val="000000"/>
          <w:sz w:val="22"/>
          <w:szCs w:val="22"/>
          <w:lang w:val="en-US"/>
        </w:rPr>
        <w:t xml:space="preserve">The East African Rift System (EARS) is the major active tectonic feature of the Sub-Saharan Africa (SSA) region. Although the seismicity level of such a divergent plate boundary can be described as moderate, several damaging earthquakes have been reported in historical times, and the seismic risk is exacerbated by the high vulnerability of the local buildings and structures. Formulation and enforcement of national seismic codes is therefore an essential risk mitigation </w:t>
      </w:r>
      <w:r w:rsidR="007B6C69" w:rsidRPr="00CA7FAF">
        <w:rPr>
          <w:rFonts w:ascii="TitilliumText22L Light" w:hAnsi="TitilliumText22L Light" w:cs="Arial"/>
          <w:color w:val="000000"/>
          <w:sz w:val="22"/>
          <w:szCs w:val="22"/>
          <w:lang w:val="en-US"/>
        </w:rPr>
        <w:t>strategy</w:t>
      </w:r>
      <w:r w:rsidRPr="00CA7FAF">
        <w:rPr>
          <w:rFonts w:ascii="TitilliumText22L Light" w:hAnsi="TitilliumText22L Light" w:cs="Arial"/>
          <w:color w:val="000000"/>
          <w:sz w:val="22"/>
          <w:szCs w:val="22"/>
          <w:lang w:val="en-US"/>
        </w:rPr>
        <w:t xml:space="preserve">. </w:t>
      </w:r>
    </w:p>
    <w:p w14:paraId="76247315" w14:textId="1C533F36" w:rsidR="00F92A91" w:rsidRDefault="00C75006" w:rsidP="00CA7FAF">
      <w:pPr>
        <w:spacing w:after="200" w:line="276" w:lineRule="auto"/>
        <w:jc w:val="both"/>
        <w:rPr>
          <w:rFonts w:ascii="TitilliumText22L Light" w:hAnsi="TitilliumText22L Light" w:cs="Arial"/>
          <w:color w:val="000000"/>
          <w:sz w:val="22"/>
          <w:szCs w:val="22"/>
          <w:lang w:val="en-US"/>
        </w:rPr>
      </w:pPr>
      <w:r w:rsidRPr="00CA7FAF">
        <w:rPr>
          <w:rFonts w:ascii="TitilliumText22L Light" w:hAnsi="TitilliumText22L Light" w:cs="Arial"/>
          <w:color w:val="000000"/>
          <w:sz w:val="22"/>
          <w:szCs w:val="22"/>
          <w:lang w:val="en-US"/>
        </w:rPr>
        <w:t xml:space="preserve">Nonetheless, a reliable risk assessment </w:t>
      </w:r>
      <w:r w:rsidR="001669E9">
        <w:rPr>
          <w:rFonts w:ascii="TitilliumText22L Light" w:hAnsi="TitilliumText22L Light" w:cs="Arial"/>
          <w:color w:val="000000"/>
          <w:sz w:val="22"/>
          <w:szCs w:val="22"/>
          <w:lang w:val="en-US"/>
        </w:rPr>
        <w:t xml:space="preserve">must be based on </w:t>
      </w:r>
      <w:r w:rsidRPr="00CA7FAF">
        <w:rPr>
          <w:rFonts w:ascii="TitilliumText22L Light" w:hAnsi="TitilliumText22L Light" w:cs="Arial"/>
          <w:color w:val="000000"/>
          <w:sz w:val="22"/>
          <w:szCs w:val="22"/>
          <w:lang w:val="en-US"/>
        </w:rPr>
        <w:t>a</w:t>
      </w:r>
      <w:r w:rsidR="001669E9">
        <w:rPr>
          <w:rFonts w:ascii="TitilliumText22L Light" w:hAnsi="TitilliumText22L Light" w:cs="Arial"/>
          <w:color w:val="000000"/>
          <w:sz w:val="22"/>
          <w:szCs w:val="22"/>
          <w:lang w:val="en-US"/>
        </w:rPr>
        <w:t>n</w:t>
      </w:r>
      <w:r w:rsidRPr="00CA7FAF">
        <w:rPr>
          <w:rFonts w:ascii="TitilliumText22L Light" w:hAnsi="TitilliumText22L Light" w:cs="Arial"/>
          <w:color w:val="000000"/>
          <w:sz w:val="22"/>
          <w:szCs w:val="22"/>
          <w:lang w:val="en-US"/>
        </w:rPr>
        <w:t xml:space="preserve"> updated </w:t>
      </w:r>
      <w:r w:rsidR="00F92A91">
        <w:rPr>
          <w:rFonts w:ascii="TitilliumText22L Light" w:hAnsi="TitilliumText22L Light" w:cs="Arial"/>
          <w:color w:val="000000"/>
          <w:sz w:val="22"/>
          <w:szCs w:val="22"/>
          <w:lang w:val="en-US"/>
        </w:rPr>
        <w:t xml:space="preserve">and reliable </w:t>
      </w:r>
      <w:r w:rsidRPr="00CA7FAF">
        <w:rPr>
          <w:rFonts w:ascii="TitilliumText22L Light" w:hAnsi="TitilliumText22L Light" w:cs="Arial"/>
          <w:color w:val="000000"/>
          <w:sz w:val="22"/>
          <w:szCs w:val="22"/>
          <w:lang w:val="en-US"/>
        </w:rPr>
        <w:t>seism</w:t>
      </w:r>
      <w:r w:rsidR="003B6517" w:rsidRPr="00CA7FAF">
        <w:rPr>
          <w:rFonts w:ascii="TitilliumText22L Light" w:hAnsi="TitilliumText22L Light" w:cs="Arial"/>
          <w:color w:val="000000"/>
          <w:sz w:val="22"/>
          <w:szCs w:val="22"/>
          <w:lang w:val="en-US"/>
        </w:rPr>
        <w:t xml:space="preserve">ic hazard model for the region. The last published regional model </w:t>
      </w:r>
      <w:r w:rsidR="00AC7A52" w:rsidRPr="00CA7FAF">
        <w:rPr>
          <w:rFonts w:ascii="TitilliumText22L Light" w:hAnsi="TitilliumText22L Light" w:cs="Arial"/>
          <w:color w:val="000000"/>
          <w:sz w:val="22"/>
          <w:szCs w:val="22"/>
          <w:lang w:val="en-US"/>
        </w:rPr>
        <w:t xml:space="preserve">for SSA was </w:t>
      </w:r>
      <w:r w:rsidR="003B6517" w:rsidRPr="00CA7FAF">
        <w:rPr>
          <w:rFonts w:ascii="TitilliumText22L Light" w:hAnsi="TitilliumText22L Light" w:cs="Arial"/>
          <w:color w:val="000000"/>
          <w:sz w:val="22"/>
          <w:szCs w:val="22"/>
          <w:lang w:val="en-US"/>
        </w:rPr>
        <w:t xml:space="preserve">developed within the frame of the GSHAP project </w:t>
      </w:r>
      <w:r w:rsidR="00AC7A52" w:rsidRPr="00CA7FAF">
        <w:rPr>
          <w:rFonts w:ascii="TitilliumText22L Light" w:hAnsi="TitilliumText22L Light" w:cs="Arial"/>
          <w:color w:val="000000"/>
          <w:sz w:val="22"/>
          <w:szCs w:val="22"/>
          <w:lang w:val="en-US"/>
        </w:rPr>
        <w:t xml:space="preserve">and </w:t>
      </w:r>
      <w:r w:rsidR="003B6517" w:rsidRPr="00CA7FAF">
        <w:rPr>
          <w:rFonts w:ascii="TitilliumText22L Light" w:hAnsi="TitilliumText22L Light" w:cs="Arial"/>
          <w:color w:val="000000"/>
          <w:sz w:val="22"/>
          <w:szCs w:val="22"/>
          <w:lang w:val="en-US"/>
        </w:rPr>
        <w:t>is almost 20</w:t>
      </w:r>
      <w:r w:rsidR="00AC7A52" w:rsidRPr="00CA7FAF">
        <w:rPr>
          <w:rFonts w:ascii="TitilliumText22L Light" w:hAnsi="TitilliumText22L Light" w:cs="Arial"/>
          <w:color w:val="000000"/>
          <w:sz w:val="22"/>
          <w:szCs w:val="22"/>
          <w:lang w:val="en-US"/>
        </w:rPr>
        <w:t xml:space="preserve"> years old (</w:t>
      </w:r>
      <w:proofErr w:type="spellStart"/>
      <w:r w:rsidR="00AC7A52" w:rsidRPr="00CA7FAF">
        <w:rPr>
          <w:rFonts w:ascii="TitilliumText22L Light" w:hAnsi="TitilliumText22L Light" w:cs="Arial"/>
          <w:color w:val="000000"/>
          <w:sz w:val="22"/>
          <w:szCs w:val="22"/>
          <w:lang w:val="en-US"/>
        </w:rPr>
        <w:t>Midzi</w:t>
      </w:r>
      <w:proofErr w:type="spellEnd"/>
      <w:r w:rsidR="00AC7A52" w:rsidRPr="00CA7FAF">
        <w:rPr>
          <w:rFonts w:ascii="TitilliumText22L Light" w:hAnsi="TitilliumText22L Light" w:cs="Arial"/>
          <w:color w:val="000000"/>
          <w:sz w:val="22"/>
          <w:szCs w:val="22"/>
          <w:lang w:val="en-US"/>
        </w:rPr>
        <w:t xml:space="preserve"> et al., 1999).</w:t>
      </w:r>
      <w:r w:rsidR="00993B3B" w:rsidRPr="00CA7FAF">
        <w:rPr>
          <w:rFonts w:ascii="TitilliumText22L Light" w:hAnsi="TitilliumText22L Light" w:cs="Arial"/>
          <w:color w:val="000000"/>
          <w:sz w:val="22"/>
          <w:szCs w:val="22"/>
          <w:lang w:val="en-US"/>
        </w:rPr>
        <w:t xml:space="preserve"> Nowadays, the availability of new data, </w:t>
      </w:r>
      <w:r w:rsidR="00480CDA" w:rsidRPr="00CA7FAF">
        <w:rPr>
          <w:rFonts w:ascii="TitilliumText22L Light" w:hAnsi="TitilliumText22L Light" w:cs="Arial"/>
          <w:color w:val="000000"/>
          <w:sz w:val="22"/>
          <w:szCs w:val="22"/>
          <w:lang w:val="en-US"/>
        </w:rPr>
        <w:t xml:space="preserve">local and regional </w:t>
      </w:r>
      <w:proofErr w:type="spellStart"/>
      <w:r w:rsidR="00993B3B" w:rsidRPr="00CA7FAF">
        <w:rPr>
          <w:rFonts w:ascii="TitilliumText22L Light" w:hAnsi="TitilliumText22L Light" w:cs="Arial"/>
          <w:color w:val="000000"/>
          <w:sz w:val="22"/>
          <w:szCs w:val="22"/>
          <w:lang w:val="en-US"/>
        </w:rPr>
        <w:t>seismotectonic</w:t>
      </w:r>
      <w:proofErr w:type="spellEnd"/>
      <w:r w:rsidR="00993B3B" w:rsidRPr="00CA7FAF">
        <w:rPr>
          <w:rFonts w:ascii="TitilliumText22L Light" w:hAnsi="TitilliumText22L Light" w:cs="Arial"/>
          <w:color w:val="000000"/>
          <w:sz w:val="22"/>
          <w:szCs w:val="22"/>
          <w:lang w:val="en-US"/>
        </w:rPr>
        <w:t xml:space="preserve"> studies and recently developed methods and tools </w:t>
      </w:r>
      <w:r w:rsidR="00F92A91">
        <w:rPr>
          <w:rFonts w:ascii="TitilliumText22L Light" w:hAnsi="TitilliumText22L Light" w:cs="Arial"/>
          <w:color w:val="000000"/>
          <w:sz w:val="22"/>
          <w:szCs w:val="22"/>
          <w:lang w:val="en-US"/>
        </w:rPr>
        <w:t>prompt</w:t>
      </w:r>
      <w:r w:rsidR="00993B3B" w:rsidRPr="00CA7FAF">
        <w:rPr>
          <w:rFonts w:ascii="TitilliumText22L Light" w:hAnsi="TitilliumText22L Light" w:cs="Arial"/>
          <w:color w:val="000000"/>
          <w:sz w:val="22"/>
          <w:szCs w:val="22"/>
          <w:lang w:val="en-US"/>
        </w:rPr>
        <w:t xml:space="preserve"> the development of a </w:t>
      </w:r>
      <w:r w:rsidR="00F92A91">
        <w:rPr>
          <w:rFonts w:ascii="TitilliumText22L Light" w:hAnsi="TitilliumText22L Light" w:cs="Arial"/>
          <w:color w:val="000000"/>
          <w:sz w:val="22"/>
          <w:szCs w:val="22"/>
          <w:lang w:val="en-US"/>
        </w:rPr>
        <w:t>new</w:t>
      </w:r>
      <w:r w:rsidR="00F92A91" w:rsidRPr="00CA7FAF">
        <w:rPr>
          <w:rFonts w:ascii="TitilliumText22L Light" w:hAnsi="TitilliumText22L Light" w:cs="Arial"/>
          <w:color w:val="000000"/>
          <w:sz w:val="22"/>
          <w:szCs w:val="22"/>
          <w:lang w:val="en-US"/>
        </w:rPr>
        <w:t xml:space="preserve"> </w:t>
      </w:r>
      <w:r w:rsidR="00F92A91">
        <w:rPr>
          <w:rFonts w:ascii="TitilliumText22L Light" w:hAnsi="TitilliumText22L Light" w:cs="Arial"/>
          <w:color w:val="000000"/>
          <w:sz w:val="22"/>
          <w:szCs w:val="22"/>
          <w:lang w:val="en-US"/>
        </w:rPr>
        <w:t xml:space="preserve">PSHA </w:t>
      </w:r>
      <w:r w:rsidR="00993B3B" w:rsidRPr="00CA7FAF">
        <w:rPr>
          <w:rFonts w:ascii="TitilliumText22L Light" w:hAnsi="TitilliumText22L Light" w:cs="Arial"/>
          <w:color w:val="000000"/>
          <w:sz w:val="22"/>
          <w:szCs w:val="22"/>
          <w:lang w:val="en-US"/>
        </w:rPr>
        <w:t>model</w:t>
      </w:r>
      <w:r w:rsidR="0072072B" w:rsidRPr="00CA7FAF">
        <w:rPr>
          <w:rFonts w:ascii="TitilliumText22L Light" w:hAnsi="TitilliumText22L Light" w:cs="Arial"/>
          <w:color w:val="000000"/>
          <w:sz w:val="22"/>
          <w:szCs w:val="22"/>
          <w:lang w:val="en-US"/>
        </w:rPr>
        <w:t xml:space="preserve"> </w:t>
      </w:r>
      <w:r w:rsidR="00F92A91">
        <w:rPr>
          <w:rFonts w:ascii="TitilliumText22L Light" w:hAnsi="TitilliumText22L Light" w:cs="Arial"/>
          <w:color w:val="000000"/>
          <w:sz w:val="22"/>
          <w:szCs w:val="22"/>
          <w:lang w:val="en-US"/>
        </w:rPr>
        <w:t>summarizing the current state of knowledge</w:t>
      </w:r>
      <w:r w:rsidR="000D73A3" w:rsidRPr="00CA7FAF">
        <w:rPr>
          <w:rFonts w:ascii="TitilliumText22L Light" w:hAnsi="TitilliumText22L Light" w:cs="Arial"/>
          <w:color w:val="000000"/>
          <w:sz w:val="22"/>
          <w:szCs w:val="22"/>
          <w:lang w:val="en-US"/>
        </w:rPr>
        <w:t xml:space="preserve"> in Sub-Saharan Africa</w:t>
      </w:r>
      <w:proofErr w:type="gramStart"/>
      <w:r w:rsidR="000D73A3" w:rsidRPr="00CA7FAF">
        <w:rPr>
          <w:rFonts w:ascii="TitilliumText22L Light" w:hAnsi="TitilliumText22L Light" w:cs="Arial"/>
          <w:color w:val="000000"/>
          <w:sz w:val="22"/>
          <w:szCs w:val="22"/>
          <w:lang w:val="en-US"/>
        </w:rPr>
        <w:t>.</w:t>
      </w:r>
      <w:r w:rsidR="003D00B7" w:rsidRPr="00CA7FAF">
        <w:rPr>
          <w:rFonts w:ascii="TitilliumText22L Light" w:hAnsi="TitilliumText22L Light" w:cs="Arial"/>
          <w:color w:val="000000"/>
          <w:sz w:val="22"/>
          <w:szCs w:val="22"/>
          <w:lang w:val="en-US"/>
        </w:rPr>
        <w:t>,</w:t>
      </w:r>
      <w:proofErr w:type="gramEnd"/>
      <w:r w:rsidR="003D00B7" w:rsidRPr="00CA7FAF">
        <w:rPr>
          <w:rFonts w:ascii="TitilliumText22L Light" w:hAnsi="TitilliumText22L Light" w:cs="Arial"/>
          <w:color w:val="000000"/>
          <w:sz w:val="22"/>
          <w:szCs w:val="22"/>
          <w:lang w:val="en-US"/>
        </w:rPr>
        <w:t xml:space="preserve"> </w:t>
      </w:r>
    </w:p>
    <w:p w14:paraId="4FC1D2BF" w14:textId="50F8F026" w:rsidR="001A4C74" w:rsidRDefault="00F92A91" w:rsidP="00E6717A">
      <w:pPr>
        <w:spacing w:after="200" w:line="276" w:lineRule="auto"/>
        <w:jc w:val="both"/>
        <w:rPr>
          <w:rFonts w:ascii="TitilliumText22L Light" w:hAnsi="TitilliumText22L Light" w:cs="Arial"/>
          <w:color w:val="000000"/>
          <w:sz w:val="22"/>
          <w:szCs w:val="22"/>
          <w:lang w:val="en-US"/>
        </w:rPr>
      </w:pPr>
      <w:r>
        <w:rPr>
          <w:rFonts w:ascii="TitilliumText22L Light" w:hAnsi="TitilliumText22L Light" w:cs="Arial"/>
          <w:color w:val="000000"/>
          <w:sz w:val="22"/>
          <w:szCs w:val="22"/>
          <w:lang w:val="en-US"/>
        </w:rPr>
        <w:t>T</w:t>
      </w:r>
      <w:r w:rsidR="00881212" w:rsidRPr="00CA7FAF">
        <w:rPr>
          <w:rFonts w:ascii="TitilliumText22L Light" w:hAnsi="TitilliumText22L Light" w:cs="Arial"/>
          <w:color w:val="000000"/>
          <w:sz w:val="22"/>
          <w:szCs w:val="22"/>
          <w:lang w:val="en-US"/>
        </w:rPr>
        <w:t xml:space="preserve">he development of a regional model cannot be done without the contribution of </w:t>
      </w:r>
      <w:r w:rsidR="00AD5959" w:rsidRPr="00CA7FAF">
        <w:rPr>
          <w:rFonts w:ascii="TitilliumText22L Light" w:hAnsi="TitilliumText22L Light" w:cs="Arial"/>
          <w:color w:val="000000"/>
          <w:sz w:val="22"/>
          <w:szCs w:val="22"/>
          <w:lang w:val="en-US"/>
        </w:rPr>
        <w:t>experts from the</w:t>
      </w:r>
      <w:r w:rsidR="000B56B1" w:rsidRPr="00CA7FAF">
        <w:rPr>
          <w:rFonts w:ascii="TitilliumText22L Light" w:hAnsi="TitilliumText22L Light" w:cs="Arial"/>
          <w:color w:val="000000"/>
          <w:sz w:val="22"/>
          <w:szCs w:val="22"/>
          <w:lang w:val="en-US"/>
        </w:rPr>
        <w:t xml:space="preserve"> local scientific community. P</w:t>
      </w:r>
      <w:r w:rsidR="00881212" w:rsidRPr="00CA7FAF">
        <w:rPr>
          <w:rFonts w:ascii="TitilliumText22L Light" w:hAnsi="TitilliumText22L Light" w:cs="Arial"/>
          <w:color w:val="000000"/>
          <w:sz w:val="22"/>
          <w:szCs w:val="22"/>
          <w:lang w:val="en-US"/>
        </w:rPr>
        <w:t>artnership with local governmental institutions and authorities</w:t>
      </w:r>
      <w:r w:rsidR="00DF18CE" w:rsidRPr="00CA7FAF">
        <w:rPr>
          <w:rFonts w:ascii="TitilliumText22L Light" w:hAnsi="TitilliumText22L Light" w:cs="Arial"/>
          <w:color w:val="000000"/>
          <w:sz w:val="22"/>
          <w:szCs w:val="22"/>
          <w:lang w:val="en-US"/>
        </w:rPr>
        <w:t xml:space="preserve"> is </w:t>
      </w:r>
      <w:r w:rsidR="000B56B1" w:rsidRPr="00CA7FAF">
        <w:rPr>
          <w:rFonts w:ascii="TitilliumText22L Light" w:hAnsi="TitilliumText22L Light" w:cs="Arial"/>
          <w:color w:val="000000"/>
          <w:sz w:val="22"/>
          <w:szCs w:val="22"/>
          <w:lang w:val="en-US"/>
        </w:rPr>
        <w:t xml:space="preserve">also </w:t>
      </w:r>
      <w:r w:rsidR="00DF18CE" w:rsidRPr="00CA7FAF">
        <w:rPr>
          <w:rFonts w:ascii="TitilliumText22L Light" w:hAnsi="TitilliumText22L Light" w:cs="Arial"/>
          <w:color w:val="000000"/>
          <w:sz w:val="22"/>
          <w:szCs w:val="22"/>
          <w:lang w:val="en-US"/>
        </w:rPr>
        <w:t xml:space="preserve">an essential step to facilitate model acceptance </w:t>
      </w:r>
      <w:r w:rsidR="0023086F" w:rsidRPr="00CA7FAF">
        <w:rPr>
          <w:rFonts w:ascii="TitilliumText22L Light" w:hAnsi="TitilliumText22L Light" w:cs="Arial"/>
          <w:color w:val="000000"/>
          <w:sz w:val="22"/>
          <w:szCs w:val="22"/>
          <w:lang w:val="en-US"/>
        </w:rPr>
        <w:t xml:space="preserve">and </w:t>
      </w:r>
      <w:r w:rsidR="001B4ADF" w:rsidRPr="00CA7FAF">
        <w:rPr>
          <w:rFonts w:ascii="TitilliumText22L Light" w:hAnsi="TitilliumText22L Light" w:cs="Arial"/>
          <w:color w:val="000000"/>
          <w:sz w:val="22"/>
          <w:szCs w:val="22"/>
          <w:lang w:val="en-US"/>
        </w:rPr>
        <w:t xml:space="preserve">for </w:t>
      </w:r>
      <w:r w:rsidR="0023086F" w:rsidRPr="00CA7FAF">
        <w:rPr>
          <w:rFonts w:ascii="TitilliumText22L Light" w:hAnsi="TitilliumText22L Light" w:cs="Arial"/>
          <w:color w:val="000000"/>
          <w:sz w:val="22"/>
          <w:szCs w:val="22"/>
          <w:lang w:val="en-US"/>
        </w:rPr>
        <w:t xml:space="preserve">potential </w:t>
      </w:r>
      <w:r w:rsidR="001B4ADF" w:rsidRPr="00CA7FAF">
        <w:rPr>
          <w:rFonts w:ascii="TitilliumText22L Light" w:hAnsi="TitilliumText22L Light" w:cs="Arial"/>
          <w:color w:val="000000"/>
          <w:sz w:val="22"/>
          <w:szCs w:val="22"/>
          <w:lang w:val="en-US"/>
        </w:rPr>
        <w:t>integration</w:t>
      </w:r>
      <w:r w:rsidR="0023086F" w:rsidRPr="00CA7FAF">
        <w:rPr>
          <w:rFonts w:ascii="TitilliumText22L Light" w:hAnsi="TitilliumText22L Light" w:cs="Arial"/>
          <w:color w:val="000000"/>
          <w:sz w:val="22"/>
          <w:szCs w:val="22"/>
          <w:lang w:val="en-US"/>
        </w:rPr>
        <w:t xml:space="preserve"> with </w:t>
      </w:r>
      <w:r w:rsidR="00151778" w:rsidRPr="00CA7FAF">
        <w:rPr>
          <w:rFonts w:ascii="TitilliumText22L Light" w:hAnsi="TitilliumText22L Light" w:cs="Arial"/>
          <w:color w:val="000000"/>
          <w:sz w:val="22"/>
          <w:szCs w:val="22"/>
          <w:lang w:val="en-US"/>
        </w:rPr>
        <w:t>national seismic</w:t>
      </w:r>
      <w:r w:rsidR="0023086F" w:rsidRPr="00CA7FAF">
        <w:rPr>
          <w:rFonts w:ascii="TitilliumText22L Light" w:hAnsi="TitilliumText22L Light" w:cs="Arial"/>
          <w:color w:val="000000"/>
          <w:sz w:val="22"/>
          <w:szCs w:val="22"/>
          <w:lang w:val="en-US"/>
        </w:rPr>
        <w:t xml:space="preserve"> codes</w:t>
      </w:r>
      <w:r w:rsidR="00ED27DF" w:rsidRPr="00CA7FAF">
        <w:rPr>
          <w:rFonts w:ascii="TitilliumText22L Light" w:hAnsi="TitilliumText22L Light" w:cs="Arial"/>
          <w:color w:val="000000"/>
          <w:sz w:val="22"/>
          <w:szCs w:val="22"/>
          <w:lang w:val="en-US"/>
        </w:rPr>
        <w:t>.</w:t>
      </w:r>
      <w:r w:rsidR="001A4C74">
        <w:rPr>
          <w:rFonts w:ascii="TitilliumText22L Light" w:hAnsi="TitilliumText22L Light" w:cs="Arial"/>
          <w:color w:val="000000"/>
          <w:sz w:val="22"/>
          <w:szCs w:val="22"/>
          <w:lang w:val="en-US"/>
        </w:rPr>
        <w:t xml:space="preserve"> </w:t>
      </w:r>
      <w:r w:rsidR="00E6717A">
        <w:rPr>
          <w:rFonts w:ascii="TitilliumText22L Light" w:hAnsi="TitilliumText22L Light" w:cs="Arial"/>
          <w:color w:val="000000"/>
          <w:sz w:val="22"/>
          <w:szCs w:val="22"/>
          <w:lang w:val="en-US"/>
        </w:rPr>
        <w:t>Following this concept</w:t>
      </w:r>
      <w:r w:rsidR="00131D78" w:rsidRPr="00CA7FAF">
        <w:rPr>
          <w:rFonts w:ascii="TitilliumText22L Light" w:hAnsi="TitilliumText22L Light" w:cs="Arial"/>
          <w:color w:val="000000"/>
          <w:sz w:val="22"/>
          <w:szCs w:val="22"/>
          <w:lang w:val="en-US"/>
        </w:rPr>
        <w:t xml:space="preserve">, </w:t>
      </w:r>
      <w:r w:rsidR="00881212" w:rsidRPr="00CA7FAF">
        <w:rPr>
          <w:rFonts w:ascii="TitilliumText22L Light" w:hAnsi="TitilliumText22L Light" w:cs="Arial"/>
          <w:color w:val="000000"/>
          <w:sz w:val="22"/>
          <w:szCs w:val="22"/>
          <w:lang w:val="en-US"/>
        </w:rPr>
        <w:t xml:space="preserve">GEM </w:t>
      </w:r>
      <w:r w:rsidR="001A4C74">
        <w:rPr>
          <w:rFonts w:ascii="TitilliumText22L Light" w:hAnsi="TitilliumText22L Light" w:cs="Arial"/>
          <w:color w:val="000000"/>
          <w:sz w:val="22"/>
          <w:szCs w:val="22"/>
          <w:lang w:val="en-US"/>
        </w:rPr>
        <w:t>works at engaging</w:t>
      </w:r>
      <w:r w:rsidR="00881212" w:rsidRPr="00CA7FAF">
        <w:rPr>
          <w:rFonts w:ascii="TitilliumText22L Light" w:hAnsi="TitilliumText22L Light" w:cs="Arial"/>
          <w:color w:val="000000"/>
          <w:sz w:val="22"/>
          <w:szCs w:val="22"/>
          <w:lang w:val="en-US"/>
        </w:rPr>
        <w:t xml:space="preserve"> with the </w:t>
      </w:r>
      <w:r w:rsidR="001A4C74">
        <w:rPr>
          <w:rFonts w:ascii="TitilliumText22L Light" w:hAnsi="TitilliumText22L Light" w:cs="Arial"/>
          <w:color w:val="000000"/>
          <w:sz w:val="22"/>
          <w:szCs w:val="22"/>
          <w:lang w:val="en-US"/>
        </w:rPr>
        <w:t>local</w:t>
      </w:r>
      <w:r w:rsidR="001A4C74" w:rsidRPr="00CA7FAF">
        <w:rPr>
          <w:rFonts w:ascii="TitilliumText22L Light" w:hAnsi="TitilliumText22L Light" w:cs="Arial"/>
          <w:color w:val="000000"/>
          <w:sz w:val="22"/>
          <w:szCs w:val="22"/>
          <w:lang w:val="en-US"/>
        </w:rPr>
        <w:t xml:space="preserve"> </w:t>
      </w:r>
      <w:r w:rsidR="00881212" w:rsidRPr="00CA7FAF">
        <w:rPr>
          <w:rFonts w:ascii="TitilliumText22L Light" w:hAnsi="TitilliumText22L Light" w:cs="Arial"/>
          <w:color w:val="000000"/>
          <w:sz w:val="22"/>
          <w:szCs w:val="22"/>
          <w:lang w:val="en-US"/>
        </w:rPr>
        <w:t>communi</w:t>
      </w:r>
      <w:r w:rsidR="001A4C74">
        <w:rPr>
          <w:rFonts w:ascii="TitilliumText22L Light" w:hAnsi="TitilliumText22L Light" w:cs="Arial"/>
          <w:color w:val="000000"/>
          <w:sz w:val="22"/>
          <w:szCs w:val="22"/>
          <w:lang w:val="en-US"/>
        </w:rPr>
        <w:t>ties</w:t>
      </w:r>
      <w:r w:rsidR="00881212" w:rsidRPr="00CA7FAF">
        <w:rPr>
          <w:rFonts w:ascii="TitilliumText22L Light" w:hAnsi="TitilliumText22L Light" w:cs="Arial"/>
          <w:color w:val="000000"/>
          <w:sz w:val="22"/>
          <w:szCs w:val="22"/>
          <w:lang w:val="en-US"/>
        </w:rPr>
        <w:t xml:space="preserve"> </w:t>
      </w:r>
      <w:r w:rsidR="006178EE" w:rsidRPr="00CA7FAF">
        <w:rPr>
          <w:rFonts w:ascii="TitilliumText22L Light" w:hAnsi="TitilliumText22L Light" w:cs="Arial"/>
          <w:color w:val="000000"/>
          <w:sz w:val="22"/>
          <w:szCs w:val="22"/>
          <w:lang w:val="en-US"/>
        </w:rPr>
        <w:t xml:space="preserve">and </w:t>
      </w:r>
      <w:r w:rsidR="00881212" w:rsidRPr="00CA7FAF">
        <w:rPr>
          <w:rFonts w:ascii="TitilliumText22L Light" w:hAnsi="TitilliumText22L Light" w:cs="Arial"/>
          <w:color w:val="000000"/>
          <w:sz w:val="22"/>
          <w:szCs w:val="22"/>
          <w:lang w:val="en-US"/>
        </w:rPr>
        <w:t>build</w:t>
      </w:r>
      <w:r w:rsidR="001A4C74">
        <w:rPr>
          <w:rFonts w:ascii="TitilliumText22L Light" w:hAnsi="TitilliumText22L Light" w:cs="Arial"/>
          <w:color w:val="000000"/>
          <w:sz w:val="22"/>
          <w:szCs w:val="22"/>
          <w:lang w:val="en-US"/>
        </w:rPr>
        <w:t>ing</w:t>
      </w:r>
      <w:r w:rsidR="00881212" w:rsidRPr="00CA7FAF">
        <w:rPr>
          <w:rFonts w:ascii="TitilliumText22L Light" w:hAnsi="TitilliumText22L Light" w:cs="Arial"/>
          <w:color w:val="000000"/>
          <w:sz w:val="22"/>
          <w:szCs w:val="22"/>
          <w:lang w:val="en-US"/>
        </w:rPr>
        <w:t xml:space="preserve"> and extend</w:t>
      </w:r>
      <w:r w:rsidR="001A4C74">
        <w:rPr>
          <w:rFonts w:ascii="TitilliumText22L Light" w:hAnsi="TitilliumText22L Light" w:cs="Arial"/>
          <w:color w:val="000000"/>
          <w:sz w:val="22"/>
          <w:szCs w:val="22"/>
          <w:lang w:val="en-US"/>
        </w:rPr>
        <w:t>ing</w:t>
      </w:r>
      <w:r w:rsidR="00881212" w:rsidRPr="00CA7FAF">
        <w:rPr>
          <w:rFonts w:ascii="TitilliumText22L Light" w:hAnsi="TitilliumText22L Light" w:cs="Arial"/>
          <w:color w:val="000000"/>
          <w:sz w:val="22"/>
          <w:szCs w:val="22"/>
          <w:lang w:val="en-US"/>
        </w:rPr>
        <w:t xml:space="preserve"> </w:t>
      </w:r>
      <w:r w:rsidR="00E9214A" w:rsidRPr="00CA7FAF">
        <w:rPr>
          <w:rFonts w:ascii="TitilliumText22L Light" w:hAnsi="TitilliumText22L Light" w:cs="Arial"/>
          <w:color w:val="000000"/>
          <w:sz w:val="22"/>
          <w:szCs w:val="22"/>
          <w:lang w:val="en-US"/>
        </w:rPr>
        <w:t xml:space="preserve">awareness on seismic hazard and the </w:t>
      </w:r>
      <w:r w:rsidR="00881212" w:rsidRPr="00CA7FAF">
        <w:rPr>
          <w:rFonts w:ascii="TitilliumText22L Light" w:hAnsi="TitilliumText22L Light" w:cs="Arial"/>
          <w:color w:val="000000"/>
          <w:sz w:val="22"/>
          <w:szCs w:val="22"/>
          <w:lang w:val="en-US"/>
        </w:rPr>
        <w:t>technical capacity for the use of GEM’s open tools</w:t>
      </w:r>
      <w:r w:rsidR="006178EE" w:rsidRPr="00CA7FAF">
        <w:rPr>
          <w:rFonts w:ascii="TitilliumText22L Light" w:hAnsi="TitilliumText22L Light" w:cs="Arial"/>
          <w:color w:val="000000"/>
          <w:sz w:val="22"/>
          <w:szCs w:val="22"/>
          <w:lang w:val="en-US"/>
        </w:rPr>
        <w:t xml:space="preserve"> and resources. </w:t>
      </w:r>
    </w:p>
    <w:p w14:paraId="367D66DD" w14:textId="223D4871" w:rsidR="008D7D66" w:rsidRPr="00CA7FAF" w:rsidRDefault="001A4C74" w:rsidP="00CA7FAF">
      <w:pPr>
        <w:spacing w:after="200" w:line="276" w:lineRule="auto"/>
        <w:jc w:val="both"/>
        <w:rPr>
          <w:rFonts w:ascii="TitilliumText22L Light" w:hAnsi="TitilliumText22L Light" w:cs="Arial"/>
          <w:color w:val="000000"/>
          <w:sz w:val="22"/>
          <w:szCs w:val="22"/>
          <w:lang w:val="en-US"/>
        </w:rPr>
      </w:pPr>
      <w:r>
        <w:rPr>
          <w:rFonts w:ascii="TitilliumText22L Light" w:hAnsi="TitilliumText22L Light" w:cs="Arial"/>
          <w:color w:val="000000"/>
          <w:sz w:val="22"/>
          <w:szCs w:val="22"/>
          <w:lang w:val="en-US"/>
        </w:rPr>
        <w:t xml:space="preserve">In </w:t>
      </w:r>
      <w:r w:rsidR="00C532C5">
        <w:rPr>
          <w:rFonts w:ascii="TitilliumText22L Light" w:hAnsi="TitilliumText22L Light" w:cs="Arial"/>
          <w:color w:val="000000"/>
          <w:sz w:val="22"/>
          <w:szCs w:val="22"/>
          <w:lang w:val="en-US"/>
        </w:rPr>
        <w:t>the</w:t>
      </w:r>
      <w:r>
        <w:rPr>
          <w:rFonts w:ascii="TitilliumText22L Light" w:hAnsi="TitilliumText22L Light" w:cs="Arial"/>
          <w:color w:val="000000"/>
          <w:sz w:val="22"/>
          <w:szCs w:val="22"/>
          <w:lang w:val="en-US"/>
        </w:rPr>
        <w:t xml:space="preserve"> section we describe </w:t>
      </w:r>
      <w:r w:rsidR="006178EE" w:rsidRPr="00CA7FAF">
        <w:rPr>
          <w:rFonts w:ascii="TitilliumText22L Light" w:hAnsi="TitilliumText22L Light" w:cs="Arial"/>
          <w:color w:val="000000"/>
          <w:sz w:val="22"/>
          <w:szCs w:val="22"/>
          <w:lang w:val="en-US"/>
        </w:rPr>
        <w:t xml:space="preserve">the </w:t>
      </w:r>
      <w:r w:rsidR="00715617" w:rsidRPr="00CA7FAF">
        <w:rPr>
          <w:rFonts w:ascii="TitilliumText22L Light" w:hAnsi="TitilliumText22L Light" w:cs="Arial"/>
          <w:color w:val="000000"/>
          <w:sz w:val="22"/>
          <w:szCs w:val="22"/>
          <w:lang w:val="en-US"/>
        </w:rPr>
        <w:t>implementation</w:t>
      </w:r>
      <w:r w:rsidR="006178EE" w:rsidRPr="00CA7FAF">
        <w:rPr>
          <w:rFonts w:ascii="TitilliumText22L Light" w:hAnsi="TitilliumText22L Light" w:cs="Arial"/>
          <w:color w:val="000000"/>
          <w:sz w:val="22"/>
          <w:szCs w:val="22"/>
          <w:lang w:val="en-US"/>
        </w:rPr>
        <w:t xml:space="preserve"> of a community-based probabilistic seismic hazard mo</w:t>
      </w:r>
      <w:r w:rsidR="002F6057" w:rsidRPr="00CA7FAF">
        <w:rPr>
          <w:rFonts w:ascii="TitilliumText22L Light" w:hAnsi="TitilliumText22L Light" w:cs="Arial"/>
          <w:color w:val="000000"/>
          <w:sz w:val="22"/>
          <w:szCs w:val="22"/>
          <w:lang w:val="en-US"/>
        </w:rPr>
        <w:t xml:space="preserve">del for the Sub-Saharan Africa, </w:t>
      </w:r>
      <w:r w:rsidR="00715617" w:rsidRPr="00CA7FAF">
        <w:rPr>
          <w:rFonts w:ascii="TitilliumText22L Light" w:hAnsi="TitilliumText22L Light" w:cs="Arial"/>
          <w:color w:val="000000"/>
          <w:sz w:val="22"/>
          <w:szCs w:val="22"/>
          <w:lang w:val="en-US"/>
        </w:rPr>
        <w:t xml:space="preserve">developed with the contribution and resources from African scientists </w:t>
      </w:r>
      <w:r w:rsidR="007C1238">
        <w:rPr>
          <w:rFonts w:ascii="TitilliumText22L Light" w:hAnsi="TitilliumText22L Light" w:cs="Arial"/>
          <w:color w:val="000000"/>
          <w:sz w:val="22"/>
          <w:szCs w:val="22"/>
          <w:lang w:val="en-US"/>
        </w:rPr>
        <w:t xml:space="preserve">primarily involved in initiatives promoted by </w:t>
      </w:r>
      <w:proofErr w:type="spellStart"/>
      <w:r w:rsidR="007C1238">
        <w:rPr>
          <w:rFonts w:ascii="TitilliumText22L Light" w:hAnsi="TitilliumText22L Light" w:cs="Arial"/>
          <w:color w:val="000000"/>
          <w:sz w:val="22"/>
          <w:szCs w:val="22"/>
          <w:lang w:val="en-US"/>
        </w:rPr>
        <w:t>AfricaArray</w:t>
      </w:r>
      <w:proofErr w:type="spellEnd"/>
      <w:r w:rsidR="007C1238">
        <w:rPr>
          <w:rFonts w:ascii="TitilliumText22L Light" w:hAnsi="TitilliumText22L Light" w:cs="Arial"/>
          <w:color w:val="000000"/>
          <w:sz w:val="22"/>
          <w:szCs w:val="22"/>
          <w:lang w:val="en-US"/>
        </w:rPr>
        <w:t>.</w:t>
      </w:r>
    </w:p>
    <w:p w14:paraId="3D883447" w14:textId="2410E3DB" w:rsidR="0079140C" w:rsidRPr="00400BC8" w:rsidRDefault="008429D6" w:rsidP="00CA7FAF">
      <w:pPr>
        <w:spacing w:after="200" w:line="276" w:lineRule="auto"/>
        <w:jc w:val="both"/>
        <w:rPr>
          <w:rFonts w:ascii="TitilliumText22L Light" w:hAnsi="TitilliumText22L Light" w:cs="Times New Roman"/>
          <w:b/>
          <w:sz w:val="28"/>
          <w:szCs w:val="28"/>
          <w:lang w:val="en-US"/>
        </w:rPr>
      </w:pPr>
      <w:r w:rsidRPr="00400BC8">
        <w:rPr>
          <w:rFonts w:ascii="TitilliumText22L Light" w:hAnsi="TitilliumText22L Light" w:cs="Arial"/>
          <w:b/>
          <w:color w:val="000000"/>
          <w:sz w:val="28"/>
          <w:szCs w:val="28"/>
          <w:lang w:val="en-US"/>
        </w:rPr>
        <w:t>M</w:t>
      </w:r>
      <w:r w:rsidR="006C3EBC" w:rsidRPr="00400BC8">
        <w:rPr>
          <w:rFonts w:ascii="TitilliumText22L Light" w:hAnsi="TitilliumText22L Light" w:cs="Arial"/>
          <w:b/>
          <w:color w:val="000000"/>
          <w:sz w:val="28"/>
          <w:szCs w:val="28"/>
          <w:lang w:val="en-US"/>
        </w:rPr>
        <w:t>ethodology</w:t>
      </w:r>
    </w:p>
    <w:p w14:paraId="676D479D" w14:textId="5413E526" w:rsidR="00146BA8" w:rsidRDefault="00146BA8" w:rsidP="00CA7FAF">
      <w:pPr>
        <w:spacing w:after="200" w:line="276" w:lineRule="auto"/>
        <w:jc w:val="both"/>
        <w:rPr>
          <w:rFonts w:ascii="TitilliumText22L Light" w:hAnsi="TitilliumText22L Light" w:cs="Arial"/>
          <w:color w:val="000000"/>
          <w:sz w:val="22"/>
          <w:szCs w:val="22"/>
          <w:lang w:val="en-US"/>
        </w:rPr>
      </w:pPr>
      <w:r>
        <w:rPr>
          <w:rFonts w:ascii="TitilliumText22L Light" w:hAnsi="TitilliumText22L Light" w:cs="Arial"/>
          <w:color w:val="000000"/>
          <w:sz w:val="22"/>
          <w:szCs w:val="22"/>
          <w:lang w:val="en-US"/>
        </w:rPr>
        <w:t>The methodology adopted for the construction of the hazard model for Sub-Saharan Africa follows a classical approach, which extensively relies on geological and tectonic information and on a catalogue of past seismicity</w:t>
      </w:r>
      <w:r w:rsidR="00ED2556">
        <w:rPr>
          <w:rFonts w:ascii="TitilliumText22L Light" w:hAnsi="TitilliumText22L Light" w:cs="Arial"/>
          <w:color w:val="000000"/>
          <w:sz w:val="22"/>
          <w:szCs w:val="22"/>
          <w:lang w:val="en-US"/>
        </w:rPr>
        <w:t>.</w:t>
      </w:r>
    </w:p>
    <w:p w14:paraId="3D3E0F9C" w14:textId="7397AFEA" w:rsidR="00146BA8" w:rsidRDefault="000F5100" w:rsidP="00CA7FAF">
      <w:pPr>
        <w:spacing w:after="200" w:line="276" w:lineRule="auto"/>
        <w:jc w:val="both"/>
        <w:rPr>
          <w:rFonts w:ascii="TitilliumText22L Light" w:hAnsi="TitilliumText22L Light" w:cs="Arial"/>
          <w:color w:val="000000"/>
          <w:sz w:val="22"/>
          <w:szCs w:val="22"/>
          <w:lang w:val="en-US"/>
        </w:rPr>
      </w:pPr>
      <w:r>
        <w:rPr>
          <w:rFonts w:ascii="TitilliumText22L Light" w:hAnsi="TitilliumText22L Light" w:cs="Arial"/>
          <w:color w:val="000000"/>
          <w:sz w:val="22"/>
          <w:szCs w:val="22"/>
          <w:lang w:val="en-US"/>
        </w:rPr>
        <w:t>Since</w:t>
      </w:r>
      <w:r w:rsidRPr="00CA7FAF">
        <w:rPr>
          <w:rFonts w:ascii="TitilliumText22L Light" w:hAnsi="TitilliumText22L Light" w:cs="Arial"/>
          <w:color w:val="000000"/>
          <w:sz w:val="22"/>
          <w:szCs w:val="22"/>
          <w:lang w:val="en-US"/>
        </w:rPr>
        <w:t xml:space="preserve"> several catalogues are available for </w:t>
      </w:r>
      <w:r>
        <w:rPr>
          <w:rFonts w:ascii="TitilliumText22L Light" w:hAnsi="TitilliumText22L Light" w:cs="Arial"/>
          <w:color w:val="000000"/>
          <w:sz w:val="22"/>
          <w:szCs w:val="22"/>
          <w:lang w:val="en-US"/>
        </w:rPr>
        <w:t>the</w:t>
      </w:r>
      <w:r w:rsidRPr="00CA7FAF">
        <w:rPr>
          <w:rFonts w:ascii="TitilliumText22L Light" w:hAnsi="TitilliumText22L Light" w:cs="Arial"/>
          <w:color w:val="000000"/>
          <w:sz w:val="22"/>
          <w:szCs w:val="22"/>
          <w:lang w:val="en-US"/>
        </w:rPr>
        <w:t xml:space="preserve"> study area, </w:t>
      </w:r>
      <w:r>
        <w:rPr>
          <w:rFonts w:ascii="TitilliumText22L Light" w:hAnsi="TitilliumText22L Light" w:cs="Arial"/>
          <w:color w:val="000000"/>
          <w:sz w:val="22"/>
          <w:szCs w:val="22"/>
          <w:lang w:val="en-US"/>
        </w:rPr>
        <w:t xml:space="preserve">we homogenized the </w:t>
      </w:r>
      <w:r w:rsidR="001669E9">
        <w:rPr>
          <w:rFonts w:ascii="TitilliumText22L Light" w:hAnsi="TitilliumText22L Light" w:cs="Arial"/>
          <w:color w:val="000000"/>
          <w:sz w:val="22"/>
          <w:szCs w:val="22"/>
          <w:lang w:val="en-US"/>
        </w:rPr>
        <w:t xml:space="preserve">collected </w:t>
      </w:r>
      <w:r w:rsidRPr="00CA7FAF">
        <w:rPr>
          <w:rFonts w:ascii="TitilliumText22L Light" w:hAnsi="TitilliumText22L Light" w:cs="Arial"/>
          <w:color w:val="000000"/>
          <w:sz w:val="22"/>
          <w:szCs w:val="22"/>
          <w:lang w:val="en-US"/>
        </w:rPr>
        <w:t xml:space="preserve">information (location solutions, reported time, intensity scale) </w:t>
      </w:r>
      <w:r w:rsidR="001669E9">
        <w:rPr>
          <w:rFonts w:ascii="TitilliumText22L Light" w:hAnsi="TitilliumText22L Light" w:cs="Arial"/>
          <w:color w:val="000000"/>
          <w:sz w:val="22"/>
          <w:szCs w:val="22"/>
          <w:lang w:val="en-US"/>
        </w:rPr>
        <w:t xml:space="preserve">using </w:t>
      </w:r>
      <w:r>
        <w:rPr>
          <w:rFonts w:ascii="TitilliumText22L Light" w:hAnsi="TitilliumText22L Light" w:cs="Arial"/>
          <w:color w:val="000000"/>
          <w:sz w:val="22"/>
          <w:szCs w:val="22"/>
          <w:lang w:val="en-US"/>
        </w:rPr>
        <w:t>a set of</w:t>
      </w:r>
      <w:r w:rsidRPr="00CA7FAF">
        <w:rPr>
          <w:rFonts w:ascii="TitilliumText22L Light" w:hAnsi="TitilliumText22L Light" w:cs="Arial"/>
          <w:color w:val="000000"/>
          <w:sz w:val="22"/>
          <w:szCs w:val="22"/>
          <w:lang w:val="en-US"/>
        </w:rPr>
        <w:t xml:space="preserve"> objective criteria for selection, merging and </w:t>
      </w:r>
      <w:proofErr w:type="spellStart"/>
      <w:r w:rsidRPr="00CA7FAF">
        <w:rPr>
          <w:rFonts w:ascii="TitilliumText22L Light" w:hAnsi="TitilliumText22L Light" w:cs="Arial"/>
          <w:color w:val="000000"/>
          <w:sz w:val="22"/>
          <w:szCs w:val="22"/>
          <w:lang w:val="en-US"/>
        </w:rPr>
        <w:t>homogenisation</w:t>
      </w:r>
      <w:proofErr w:type="spellEnd"/>
      <w:r w:rsidRPr="00CA7FAF">
        <w:rPr>
          <w:rFonts w:ascii="TitilliumText22L Light" w:hAnsi="TitilliumText22L Light" w:cs="Arial"/>
          <w:color w:val="000000"/>
          <w:sz w:val="22"/>
          <w:szCs w:val="22"/>
          <w:lang w:val="en-US"/>
        </w:rPr>
        <w:t>.</w:t>
      </w:r>
      <w:r w:rsidR="00177E01">
        <w:rPr>
          <w:rFonts w:ascii="TitilliumText22L Light" w:hAnsi="TitilliumText22L Light" w:cs="Arial"/>
          <w:color w:val="000000"/>
          <w:sz w:val="22"/>
          <w:szCs w:val="22"/>
          <w:lang w:val="en-US"/>
        </w:rPr>
        <w:t xml:space="preserve"> </w:t>
      </w:r>
      <w:r w:rsidR="00177E01" w:rsidRPr="00CA7FAF">
        <w:rPr>
          <w:rFonts w:ascii="TitilliumText22L Light" w:hAnsi="TitilliumText22L Light" w:cs="Arial"/>
          <w:color w:val="000000"/>
          <w:sz w:val="22"/>
          <w:szCs w:val="22"/>
          <w:lang w:val="en-US"/>
        </w:rPr>
        <w:t xml:space="preserve">GEM has recently developed a set of open-source tools that helps scientists going though the catalogue </w:t>
      </w:r>
      <w:proofErr w:type="spellStart"/>
      <w:r w:rsidR="00177E01" w:rsidRPr="00CA7FAF">
        <w:rPr>
          <w:rFonts w:ascii="TitilliumText22L Light" w:hAnsi="TitilliumText22L Light" w:cs="Arial"/>
          <w:color w:val="000000"/>
          <w:sz w:val="22"/>
          <w:szCs w:val="22"/>
          <w:lang w:val="en-US"/>
        </w:rPr>
        <w:t>harmonisation</w:t>
      </w:r>
      <w:proofErr w:type="spellEnd"/>
      <w:r w:rsidR="00177E01" w:rsidRPr="00CA7FAF">
        <w:rPr>
          <w:rFonts w:ascii="TitilliumText22L Light" w:hAnsi="TitilliumText22L Light" w:cs="Arial"/>
          <w:color w:val="000000"/>
          <w:sz w:val="22"/>
          <w:szCs w:val="22"/>
          <w:lang w:val="en-US"/>
        </w:rPr>
        <w:t xml:space="preserve"> process. In this study we make use of these tools (GEM Catalogue Toolkit, </w:t>
      </w:r>
      <w:proofErr w:type="spellStart"/>
      <w:r w:rsidR="00177E01" w:rsidRPr="00CA7FAF">
        <w:rPr>
          <w:rFonts w:ascii="TitilliumText22L Light" w:hAnsi="TitilliumText22L Light" w:cs="Arial"/>
          <w:color w:val="000000"/>
          <w:sz w:val="22"/>
          <w:szCs w:val="22"/>
          <w:lang w:val="en-US"/>
        </w:rPr>
        <w:t>Weatherill</w:t>
      </w:r>
      <w:proofErr w:type="spellEnd"/>
      <w:r w:rsidR="00177E01" w:rsidRPr="00CA7FAF">
        <w:rPr>
          <w:rFonts w:ascii="TitilliumText22L Light" w:hAnsi="TitilliumText22L Light" w:cs="Arial"/>
          <w:color w:val="000000"/>
          <w:sz w:val="22"/>
          <w:szCs w:val="22"/>
          <w:lang w:val="en-US"/>
        </w:rPr>
        <w:t xml:space="preserve"> et al. 2016) to produce a state-of-art earthquake catalogue for Sub-Saharan Africa with homogenous magnitude representation (Mw). Such catalogue (hereinafter SSA-GEM, </w:t>
      </w:r>
      <w:r w:rsidR="00177E01" w:rsidRPr="00CA7FAF">
        <w:rPr>
          <w:rFonts w:ascii="TitilliumText22L Light" w:eastAsia="Times New Roman" w:hAnsi="TitilliumText22L Light" w:cs="Arial"/>
          <w:color w:val="000000"/>
          <w:sz w:val="22"/>
          <w:szCs w:val="22"/>
          <w:lang w:val="en-US"/>
        </w:rPr>
        <w:t>Figure 1</w:t>
      </w:r>
      <w:r w:rsidR="00177E01" w:rsidRPr="00CA7FAF">
        <w:rPr>
          <w:rFonts w:ascii="TitilliumText22L Light" w:hAnsi="TitilliumText22L Light" w:cs="Arial"/>
          <w:color w:val="000000"/>
          <w:sz w:val="22"/>
          <w:szCs w:val="22"/>
          <w:lang w:val="en-US"/>
        </w:rPr>
        <w:t xml:space="preserve">) is obtained by augmenting available global catalogues (e.g. ISC-Reviewed, ISC-GEM, GCMT) with information from local agencies and regional projects (the Tanzanian broadband seismic experiment, the Ethiopian plateau catalogue and the Eastern Africa seismic experiment), particularly from the </w:t>
      </w:r>
      <w:proofErr w:type="spellStart"/>
      <w:r w:rsidR="00177E01" w:rsidRPr="00CA7FAF">
        <w:rPr>
          <w:rFonts w:ascii="TitilliumText22L Light" w:hAnsi="TitilliumText22L Light" w:cs="Arial"/>
          <w:color w:val="000000"/>
          <w:sz w:val="22"/>
          <w:szCs w:val="22"/>
          <w:lang w:val="en-US"/>
        </w:rPr>
        <w:t>AfricaArray</w:t>
      </w:r>
      <w:proofErr w:type="spellEnd"/>
      <w:r w:rsidR="00177E01" w:rsidRPr="00CA7FAF">
        <w:rPr>
          <w:rFonts w:ascii="TitilliumText22L Light" w:hAnsi="TitilliumText22L Light" w:cs="Arial"/>
          <w:color w:val="000000"/>
          <w:sz w:val="22"/>
          <w:szCs w:val="22"/>
          <w:lang w:val="en-US"/>
        </w:rPr>
        <w:t xml:space="preserve"> framework.</w:t>
      </w:r>
    </w:p>
    <w:p w14:paraId="04A86A8A" w14:textId="67FD8934" w:rsidR="0033510C" w:rsidRPr="00850D72" w:rsidRDefault="00840848" w:rsidP="00CA7FAF">
      <w:pPr>
        <w:spacing w:after="200" w:line="276" w:lineRule="auto"/>
        <w:jc w:val="both"/>
        <w:rPr>
          <w:rFonts w:ascii="TitilliumText22L Light" w:hAnsi="TitilliumText22L Light" w:cs="Arial"/>
          <w:color w:val="000000"/>
          <w:sz w:val="22"/>
          <w:szCs w:val="22"/>
          <w:lang w:val="en-US"/>
        </w:rPr>
      </w:pPr>
      <w:r w:rsidRPr="00CA7FAF">
        <w:rPr>
          <w:rFonts w:ascii="TitilliumText22L Light" w:hAnsi="TitilliumText22L Light" w:cs="Arial"/>
          <w:color w:val="000000"/>
          <w:sz w:val="22"/>
          <w:szCs w:val="22"/>
          <w:lang w:val="en-US"/>
        </w:rPr>
        <w:t xml:space="preserve">The current SSA model </w:t>
      </w:r>
      <w:r w:rsidRPr="00CA7FAF">
        <w:rPr>
          <w:rFonts w:ascii="TitilliumText22L Light" w:eastAsia="Times New Roman" w:hAnsi="TitilliumText22L Light" w:cs="Arial"/>
          <w:color w:val="000000"/>
          <w:sz w:val="22"/>
          <w:szCs w:val="22"/>
          <w:lang w:val="en-US"/>
        </w:rPr>
        <w:t xml:space="preserve">has been </w:t>
      </w:r>
      <w:r>
        <w:rPr>
          <w:rFonts w:ascii="TitilliumText22L Light" w:eastAsia="Times New Roman" w:hAnsi="TitilliumText22L Light" w:cs="Arial"/>
          <w:color w:val="000000"/>
          <w:sz w:val="22"/>
          <w:szCs w:val="22"/>
          <w:lang w:val="en-US"/>
        </w:rPr>
        <w:t>built</w:t>
      </w:r>
      <w:r w:rsidRPr="00CA7FAF">
        <w:rPr>
          <w:rFonts w:ascii="TitilliumText22L Light" w:eastAsia="Times New Roman" w:hAnsi="TitilliumText22L Light" w:cs="Arial"/>
          <w:color w:val="000000"/>
          <w:sz w:val="22"/>
          <w:szCs w:val="22"/>
          <w:lang w:val="en-US"/>
        </w:rPr>
        <w:t xml:space="preserve"> on the most recent and up to date information available from scientific literature, global bulletins and local earthquake catalogues, such as those from the partner project </w:t>
      </w:r>
      <w:proofErr w:type="spellStart"/>
      <w:r w:rsidRPr="00CA7FAF">
        <w:rPr>
          <w:rFonts w:ascii="TitilliumText22L Light" w:eastAsia="Times New Roman" w:hAnsi="TitilliumText22L Light" w:cs="Arial"/>
          <w:color w:val="000000"/>
          <w:sz w:val="22"/>
          <w:szCs w:val="22"/>
          <w:lang w:val="en-US"/>
        </w:rPr>
        <w:t>AfricaArray</w:t>
      </w:r>
      <w:proofErr w:type="spellEnd"/>
      <w:r w:rsidRPr="00CA7FAF">
        <w:rPr>
          <w:rFonts w:ascii="TitilliumText22L Light" w:eastAsia="Times New Roman" w:hAnsi="TitilliumText22L Light" w:cs="Arial"/>
          <w:color w:val="000000"/>
          <w:sz w:val="22"/>
          <w:szCs w:val="22"/>
          <w:lang w:val="en-US"/>
        </w:rPr>
        <w:t>.</w:t>
      </w:r>
      <w:r w:rsidR="001669E9">
        <w:rPr>
          <w:rFonts w:ascii="TitilliumText22L Light" w:hAnsi="TitilliumText22L Light" w:cs="Arial"/>
          <w:color w:val="000000"/>
          <w:sz w:val="22"/>
          <w:szCs w:val="22"/>
          <w:lang w:val="en-US"/>
        </w:rPr>
        <w:t xml:space="preserve"> </w:t>
      </w:r>
      <w:r w:rsidR="0079140C">
        <w:rPr>
          <w:rFonts w:ascii="TitilliumText22L Light" w:hAnsi="TitilliumText22L Light" w:cs="Arial"/>
          <w:color w:val="000000"/>
          <w:sz w:val="22"/>
          <w:szCs w:val="22"/>
          <w:lang w:val="en-US"/>
        </w:rPr>
        <w:t>Despite the progress made in collecting and interpreting active fault data, the information currently available in Sub-</w:t>
      </w:r>
      <w:r w:rsidR="0079140C">
        <w:rPr>
          <w:rFonts w:ascii="TitilliumText22L Light" w:hAnsi="TitilliumText22L Light" w:cs="Arial"/>
          <w:color w:val="000000"/>
          <w:sz w:val="22"/>
          <w:szCs w:val="22"/>
          <w:lang w:val="en-US"/>
        </w:rPr>
        <w:lastRenderedPageBreak/>
        <w:t>Saharan Africa does not permit the construction of a comprehens</w:t>
      </w:r>
      <w:r w:rsidR="00537BDE">
        <w:rPr>
          <w:rFonts w:ascii="TitilliumText22L Light" w:hAnsi="TitilliumText22L Light" w:cs="Arial"/>
          <w:color w:val="000000"/>
          <w:sz w:val="22"/>
          <w:szCs w:val="22"/>
          <w:lang w:val="en-US"/>
        </w:rPr>
        <w:t>ive fault-based hazard model. For</w:t>
      </w:r>
      <w:r w:rsidR="0079140C">
        <w:rPr>
          <w:rFonts w:ascii="TitilliumText22L Light" w:hAnsi="TitilliumText22L Light" w:cs="Arial"/>
          <w:color w:val="000000"/>
          <w:sz w:val="22"/>
          <w:szCs w:val="22"/>
          <w:lang w:val="en-US"/>
        </w:rPr>
        <w:t xml:space="preserve"> this reason, we decided to </w:t>
      </w:r>
      <w:r w:rsidR="0032637D" w:rsidRPr="00CA7FAF">
        <w:rPr>
          <w:rFonts w:ascii="TitilliumText22L Light" w:hAnsi="TitilliumText22L Light" w:cs="Arial"/>
          <w:color w:val="000000"/>
          <w:sz w:val="22"/>
          <w:szCs w:val="22"/>
          <w:lang w:val="en-US"/>
        </w:rPr>
        <w:t xml:space="preserve">develop </w:t>
      </w:r>
      <w:r w:rsidR="00537BDE">
        <w:rPr>
          <w:rFonts w:ascii="TitilliumText22L Light" w:hAnsi="TitilliumText22L Light" w:cs="Arial"/>
          <w:color w:val="000000"/>
          <w:sz w:val="22"/>
          <w:szCs w:val="22"/>
          <w:lang w:val="en-US"/>
        </w:rPr>
        <w:t xml:space="preserve">the new model </w:t>
      </w:r>
      <w:r w:rsidR="009168A0" w:rsidRPr="00CA7FAF">
        <w:rPr>
          <w:rFonts w:ascii="TitilliumText22L Light" w:hAnsi="TitilliumText22L Light" w:cs="Arial"/>
          <w:color w:val="000000"/>
          <w:sz w:val="22"/>
          <w:szCs w:val="22"/>
          <w:lang w:val="en-US"/>
        </w:rPr>
        <w:t>for the Sub-Saharan Africa</w:t>
      </w:r>
      <w:r w:rsidR="005B740F" w:rsidRPr="00CA7FAF">
        <w:rPr>
          <w:rFonts w:ascii="TitilliumText22L Light" w:hAnsi="TitilliumText22L Light" w:cs="Arial"/>
          <w:color w:val="000000"/>
          <w:sz w:val="22"/>
          <w:szCs w:val="22"/>
          <w:lang w:val="en-US"/>
        </w:rPr>
        <w:t xml:space="preserve"> </w:t>
      </w:r>
      <w:r w:rsidR="00AA7E1A" w:rsidRPr="00CA7FAF">
        <w:rPr>
          <w:rFonts w:ascii="TitilliumText22L Light" w:hAnsi="TitilliumText22L Light" w:cs="Arial"/>
          <w:color w:val="000000"/>
          <w:sz w:val="22"/>
          <w:szCs w:val="22"/>
          <w:lang w:val="en-US"/>
        </w:rPr>
        <w:t xml:space="preserve">region </w:t>
      </w:r>
      <w:r w:rsidR="00537BDE">
        <w:rPr>
          <w:rFonts w:ascii="TitilliumText22L Light" w:hAnsi="TitilliumText22L Light" w:cs="Arial"/>
          <w:color w:val="000000"/>
          <w:sz w:val="22"/>
          <w:szCs w:val="22"/>
          <w:lang w:val="en-US"/>
        </w:rPr>
        <w:t xml:space="preserve">using </w:t>
      </w:r>
      <w:r w:rsidR="009219D4" w:rsidRPr="00CA7FAF">
        <w:rPr>
          <w:rFonts w:ascii="TitilliumText22L Light" w:hAnsi="TitilliumText22L Light" w:cs="Arial"/>
          <w:color w:val="000000"/>
          <w:sz w:val="22"/>
          <w:szCs w:val="22"/>
          <w:lang w:val="en-US"/>
        </w:rPr>
        <w:t>a number of seismically and tectonically homogenous earthquake source zones. In its simplest representation, each source is considered independent from others and the earthquake rupture process within zones is assu</w:t>
      </w:r>
      <w:r w:rsidR="0072072B" w:rsidRPr="00CA7FAF">
        <w:rPr>
          <w:rFonts w:ascii="TitilliumText22L Light" w:hAnsi="TitilliumText22L Light" w:cs="Arial"/>
          <w:color w:val="000000"/>
          <w:sz w:val="22"/>
          <w:szCs w:val="22"/>
          <w:lang w:val="en-US"/>
        </w:rPr>
        <w:t xml:space="preserve">med to follow a Poisson process. </w:t>
      </w:r>
      <w:r w:rsidR="0033510C" w:rsidRPr="00CA7FAF">
        <w:rPr>
          <w:rFonts w:ascii="TitilliumText22L Light" w:hAnsi="TitilliumText22L Light" w:cs="Arial"/>
          <w:color w:val="000000"/>
          <w:sz w:val="22"/>
          <w:szCs w:val="22"/>
          <w:lang w:val="en-US"/>
        </w:rPr>
        <w:t xml:space="preserve">Each source is </w:t>
      </w:r>
      <w:r w:rsidR="00710634" w:rsidRPr="00CA7FAF">
        <w:rPr>
          <w:rFonts w:ascii="TitilliumText22L Light" w:hAnsi="TitilliumText22L Light" w:cs="Arial"/>
          <w:color w:val="000000"/>
          <w:sz w:val="22"/>
          <w:szCs w:val="22"/>
          <w:lang w:val="en-US"/>
        </w:rPr>
        <w:t xml:space="preserve">fully described </w:t>
      </w:r>
      <w:r w:rsidR="0033510C" w:rsidRPr="00CA7FAF">
        <w:rPr>
          <w:rFonts w:ascii="TitilliumText22L Light" w:hAnsi="TitilliumText22L Light" w:cs="Arial"/>
          <w:color w:val="000000"/>
          <w:sz w:val="22"/>
          <w:szCs w:val="22"/>
          <w:lang w:val="en-US"/>
        </w:rPr>
        <w:t xml:space="preserve">by the geometrical </w:t>
      </w:r>
      <w:r w:rsidR="006E15F6" w:rsidRPr="00CA7FAF">
        <w:rPr>
          <w:rFonts w:ascii="TitilliumText22L Light" w:hAnsi="TitilliumText22L Light" w:cs="Arial"/>
          <w:color w:val="000000"/>
          <w:sz w:val="22"/>
          <w:szCs w:val="22"/>
          <w:lang w:val="en-US"/>
        </w:rPr>
        <w:t>properties</w:t>
      </w:r>
      <w:r w:rsidR="0033510C" w:rsidRPr="00CA7FAF">
        <w:rPr>
          <w:rFonts w:ascii="TitilliumText22L Light" w:hAnsi="TitilliumText22L Light" w:cs="Arial"/>
          <w:color w:val="000000"/>
          <w:sz w:val="22"/>
          <w:szCs w:val="22"/>
          <w:lang w:val="en-US"/>
        </w:rPr>
        <w:t xml:space="preserve"> (size, location, orientation) of all possible ruptures, and by the definition of their </w:t>
      </w:r>
      <w:r w:rsidR="00414B74" w:rsidRPr="00CA7FAF">
        <w:rPr>
          <w:rFonts w:ascii="TitilliumText22L Light" w:hAnsi="TitilliumText22L Light" w:cs="Arial"/>
          <w:color w:val="000000"/>
          <w:sz w:val="22"/>
          <w:szCs w:val="22"/>
          <w:lang w:val="en-US"/>
        </w:rPr>
        <w:t xml:space="preserve">corresponding </w:t>
      </w:r>
      <w:r w:rsidR="0033510C" w:rsidRPr="00CA7FAF">
        <w:rPr>
          <w:rFonts w:ascii="TitilliumText22L Light" w:hAnsi="TitilliumText22L Light" w:cs="Arial"/>
          <w:color w:val="000000"/>
          <w:sz w:val="22"/>
          <w:szCs w:val="22"/>
          <w:lang w:val="en-US"/>
        </w:rPr>
        <w:t>temporal occurrence behavior.</w:t>
      </w:r>
      <w:r w:rsidR="009C3D2A" w:rsidRPr="00CA7FAF">
        <w:rPr>
          <w:rFonts w:ascii="TitilliumText22L Light" w:hAnsi="TitilliumText22L Light" w:cs="Arial"/>
          <w:color w:val="000000"/>
          <w:sz w:val="22"/>
          <w:szCs w:val="22"/>
          <w:lang w:val="en-US"/>
        </w:rPr>
        <w:t xml:space="preserve"> While the former requirement</w:t>
      </w:r>
      <w:r w:rsidR="009178E7" w:rsidRPr="00CA7FAF">
        <w:rPr>
          <w:rFonts w:ascii="TitilliumText22L Light" w:hAnsi="TitilliumText22L Light" w:cs="Arial"/>
          <w:color w:val="000000"/>
          <w:sz w:val="22"/>
          <w:szCs w:val="22"/>
          <w:lang w:val="en-US"/>
        </w:rPr>
        <w:t>s</w:t>
      </w:r>
      <w:r w:rsidR="00710634" w:rsidRPr="00CA7FAF">
        <w:rPr>
          <w:rFonts w:ascii="TitilliumText22L Light" w:hAnsi="TitilliumText22L Light" w:cs="Arial"/>
          <w:color w:val="000000"/>
          <w:sz w:val="22"/>
          <w:szCs w:val="22"/>
          <w:lang w:val="en-US"/>
        </w:rPr>
        <w:t xml:space="preserve"> can be </w:t>
      </w:r>
      <w:r w:rsidR="001E1B60" w:rsidRPr="00CA7FAF">
        <w:rPr>
          <w:rFonts w:ascii="TitilliumText22L Light" w:hAnsi="TitilliumText22L Light" w:cs="Arial"/>
          <w:color w:val="000000"/>
          <w:sz w:val="22"/>
          <w:szCs w:val="22"/>
          <w:lang w:val="en-US"/>
        </w:rPr>
        <w:t xml:space="preserve">directly </w:t>
      </w:r>
      <w:r>
        <w:rPr>
          <w:rFonts w:ascii="TitilliumText22L Light" w:hAnsi="TitilliumText22L Light" w:cs="Arial"/>
          <w:color w:val="000000"/>
          <w:sz w:val="22"/>
          <w:szCs w:val="22"/>
          <w:lang w:val="en-US"/>
        </w:rPr>
        <w:t>obtained</w:t>
      </w:r>
      <w:r w:rsidRPr="00CA7FAF">
        <w:rPr>
          <w:rFonts w:ascii="TitilliumText22L Light" w:hAnsi="TitilliumText22L Light" w:cs="Arial"/>
          <w:color w:val="000000"/>
          <w:sz w:val="22"/>
          <w:szCs w:val="22"/>
          <w:lang w:val="en-US"/>
        </w:rPr>
        <w:t xml:space="preserve"> </w:t>
      </w:r>
      <w:r w:rsidR="00710634" w:rsidRPr="00CA7FAF">
        <w:rPr>
          <w:rFonts w:ascii="TitilliumText22L Light" w:hAnsi="TitilliumText22L Light" w:cs="Arial"/>
          <w:color w:val="000000"/>
          <w:sz w:val="22"/>
          <w:szCs w:val="22"/>
          <w:lang w:val="en-US"/>
        </w:rPr>
        <w:t xml:space="preserve">by </w:t>
      </w:r>
      <w:r w:rsidR="001E1B60" w:rsidRPr="00CA7FAF">
        <w:rPr>
          <w:rFonts w:ascii="TitilliumText22L Light" w:hAnsi="TitilliumText22L Light" w:cs="Arial"/>
          <w:color w:val="000000"/>
          <w:sz w:val="22"/>
          <w:szCs w:val="22"/>
          <w:lang w:val="en-US"/>
        </w:rPr>
        <w:t xml:space="preserve">analyzing </w:t>
      </w:r>
      <w:r w:rsidR="004B0A7A" w:rsidRPr="00CA7FAF">
        <w:rPr>
          <w:rFonts w:ascii="TitilliumText22L Light" w:hAnsi="TitilliumText22L Light" w:cs="Arial"/>
          <w:color w:val="000000"/>
          <w:sz w:val="22"/>
          <w:szCs w:val="22"/>
          <w:lang w:val="en-US"/>
        </w:rPr>
        <w:t xml:space="preserve">available </w:t>
      </w:r>
      <w:r w:rsidR="001E1B60" w:rsidRPr="00CA7FAF">
        <w:rPr>
          <w:rFonts w:ascii="TitilliumText22L Light" w:hAnsi="TitilliumText22L Light" w:cs="Arial"/>
          <w:color w:val="000000"/>
          <w:sz w:val="22"/>
          <w:szCs w:val="22"/>
          <w:lang w:val="en-US"/>
        </w:rPr>
        <w:t>earthquake recordings</w:t>
      </w:r>
      <w:r w:rsidR="00710634" w:rsidRPr="00CA7FAF">
        <w:rPr>
          <w:rFonts w:ascii="TitilliumText22L Light" w:hAnsi="TitilliumText22L Light" w:cs="Arial"/>
          <w:color w:val="000000"/>
          <w:sz w:val="22"/>
          <w:szCs w:val="22"/>
          <w:lang w:val="en-US"/>
        </w:rPr>
        <w:t xml:space="preserve"> (</w:t>
      </w:r>
      <w:r w:rsidR="009C3D2A" w:rsidRPr="00CA7FAF">
        <w:rPr>
          <w:rFonts w:ascii="TitilliumText22L Light" w:hAnsi="TitilliumText22L Light" w:cs="Arial"/>
          <w:color w:val="000000"/>
          <w:sz w:val="22"/>
          <w:szCs w:val="22"/>
          <w:lang w:val="en-US"/>
        </w:rPr>
        <w:t xml:space="preserve">e.g. </w:t>
      </w:r>
      <w:r w:rsidR="00710634" w:rsidRPr="00CA7FAF">
        <w:rPr>
          <w:rFonts w:ascii="TitilliumText22L Light" w:hAnsi="TitilliumText22L Light" w:cs="Arial"/>
          <w:color w:val="000000"/>
          <w:sz w:val="22"/>
          <w:szCs w:val="22"/>
          <w:lang w:val="en-US"/>
        </w:rPr>
        <w:t xml:space="preserve">moment tensor solutions) and from geological and </w:t>
      </w:r>
      <w:proofErr w:type="spellStart"/>
      <w:r w:rsidR="00710634" w:rsidRPr="00CA7FAF">
        <w:rPr>
          <w:rFonts w:ascii="TitilliumText22L Light" w:hAnsi="TitilliumText22L Light" w:cs="Arial"/>
          <w:color w:val="000000"/>
          <w:sz w:val="22"/>
          <w:szCs w:val="22"/>
          <w:lang w:val="en-US"/>
        </w:rPr>
        <w:t>tectonical</w:t>
      </w:r>
      <w:proofErr w:type="spellEnd"/>
      <w:r w:rsidR="00710634" w:rsidRPr="00CA7FAF">
        <w:rPr>
          <w:rFonts w:ascii="TitilliumText22L Light" w:hAnsi="TitilliumText22L Light" w:cs="Arial"/>
          <w:color w:val="000000"/>
          <w:sz w:val="22"/>
          <w:szCs w:val="22"/>
          <w:lang w:val="en-US"/>
        </w:rPr>
        <w:t xml:space="preserve"> considerations, the latter has to be calibrated on </w:t>
      </w:r>
      <w:r w:rsidR="001E1B60" w:rsidRPr="00CA7FAF">
        <w:rPr>
          <w:rFonts w:ascii="TitilliumText22L Light" w:hAnsi="TitilliumText22L Light" w:cs="Arial"/>
          <w:color w:val="000000"/>
          <w:sz w:val="22"/>
          <w:szCs w:val="22"/>
          <w:lang w:val="en-US"/>
        </w:rPr>
        <w:t xml:space="preserve">the evidence of </w:t>
      </w:r>
      <w:r w:rsidR="00710634" w:rsidRPr="00CA7FAF">
        <w:rPr>
          <w:rFonts w:ascii="TitilliumText22L Light" w:hAnsi="TitilliumText22L Light" w:cs="Arial"/>
          <w:color w:val="000000"/>
          <w:sz w:val="22"/>
          <w:szCs w:val="22"/>
          <w:lang w:val="en-US"/>
        </w:rPr>
        <w:t>past observed seismicity and</w:t>
      </w:r>
      <w:r w:rsidR="001E1B60" w:rsidRPr="00CA7FAF">
        <w:rPr>
          <w:rFonts w:ascii="TitilliumText22L Light" w:hAnsi="TitilliumText22L Light" w:cs="Arial"/>
          <w:color w:val="000000"/>
          <w:sz w:val="22"/>
          <w:szCs w:val="22"/>
          <w:lang w:val="en-US"/>
        </w:rPr>
        <w:t xml:space="preserve"> </w:t>
      </w:r>
      <w:r w:rsidR="004B0A7A" w:rsidRPr="00CA7FAF">
        <w:rPr>
          <w:rFonts w:ascii="TitilliumText22L Light" w:hAnsi="TitilliumText22L Light" w:cs="Arial"/>
          <w:color w:val="000000"/>
          <w:sz w:val="22"/>
          <w:szCs w:val="22"/>
          <w:lang w:val="en-US"/>
        </w:rPr>
        <w:t xml:space="preserve">through the use of a sufficiently </w:t>
      </w:r>
      <w:r w:rsidR="009F33F7" w:rsidRPr="00CA7FAF">
        <w:rPr>
          <w:rFonts w:ascii="TitilliumText22L Light" w:hAnsi="TitilliumText22L Light" w:cs="Arial"/>
          <w:color w:val="000000"/>
          <w:sz w:val="22"/>
          <w:szCs w:val="22"/>
          <w:lang w:val="en-US"/>
        </w:rPr>
        <w:t>extended earthquake</w:t>
      </w:r>
      <w:r w:rsidR="001E1B60" w:rsidRPr="00CA7FAF">
        <w:rPr>
          <w:rFonts w:ascii="TitilliumText22L Light" w:hAnsi="TitilliumText22L Light" w:cs="Arial"/>
          <w:color w:val="000000"/>
          <w:sz w:val="22"/>
          <w:szCs w:val="22"/>
          <w:lang w:val="en-US"/>
        </w:rPr>
        <w:t xml:space="preserve"> catalogue.</w:t>
      </w:r>
    </w:p>
    <w:p w14:paraId="06FDCDB7" w14:textId="7BE378A3" w:rsidR="00E81DF6" w:rsidRPr="00CA7FAF" w:rsidRDefault="00D91412" w:rsidP="00CA7FAF">
      <w:pPr>
        <w:spacing w:after="200" w:line="276" w:lineRule="auto"/>
        <w:jc w:val="both"/>
        <w:rPr>
          <w:rFonts w:ascii="TitilliumText22L Light" w:hAnsi="TitilliumText22L Light" w:cs="Arial"/>
          <w:color w:val="000000"/>
          <w:sz w:val="22"/>
          <w:szCs w:val="22"/>
          <w:lang w:val="en-US"/>
        </w:rPr>
      </w:pPr>
      <w:r w:rsidRPr="00CA7FAF">
        <w:rPr>
          <w:rFonts w:ascii="TitilliumText22L Light" w:hAnsi="TitilliumText22L Light" w:cs="Arial"/>
          <w:color w:val="000000"/>
          <w:sz w:val="22"/>
          <w:szCs w:val="22"/>
          <w:lang w:val="en-US"/>
        </w:rPr>
        <w:t>Calculation of seismic hazard was</w:t>
      </w:r>
      <w:r w:rsidR="009219D4" w:rsidRPr="00CA7FAF">
        <w:rPr>
          <w:rFonts w:ascii="TitilliumText22L Light" w:hAnsi="TitilliumText22L Light" w:cs="Arial"/>
          <w:color w:val="000000"/>
          <w:sz w:val="22"/>
          <w:szCs w:val="22"/>
          <w:lang w:val="en-US"/>
        </w:rPr>
        <w:t xml:space="preserve"> made through the use of the </w:t>
      </w:r>
      <w:proofErr w:type="spellStart"/>
      <w:r w:rsidR="009219D4" w:rsidRPr="00CA7FAF">
        <w:rPr>
          <w:rFonts w:ascii="TitilliumText22L Light" w:hAnsi="TitilliumText22L Light" w:cs="Arial"/>
          <w:color w:val="000000"/>
          <w:sz w:val="22"/>
          <w:szCs w:val="22"/>
          <w:lang w:val="en-US"/>
        </w:rPr>
        <w:t>OpenQuake</w:t>
      </w:r>
      <w:proofErr w:type="spellEnd"/>
      <w:r w:rsidR="009219D4" w:rsidRPr="00CA7FAF">
        <w:rPr>
          <w:rFonts w:ascii="TitilliumText22L Light" w:hAnsi="TitilliumText22L Light" w:cs="Arial"/>
          <w:color w:val="000000"/>
          <w:sz w:val="22"/>
          <w:szCs w:val="22"/>
          <w:lang w:val="en-US"/>
        </w:rPr>
        <w:t xml:space="preserve"> engine</w:t>
      </w:r>
      <w:r w:rsidR="001669E9">
        <w:rPr>
          <w:rFonts w:ascii="TitilliumText22L Light" w:hAnsi="TitilliumText22L Light" w:cs="Arial"/>
          <w:color w:val="000000"/>
          <w:sz w:val="22"/>
          <w:szCs w:val="22"/>
          <w:lang w:val="en-US"/>
        </w:rPr>
        <w:t xml:space="preserve"> (Pagani et al., 2014)</w:t>
      </w:r>
      <w:r w:rsidR="009219D4" w:rsidRPr="00CA7FAF">
        <w:rPr>
          <w:rFonts w:ascii="TitilliumText22L Light" w:hAnsi="TitilliumText22L Light" w:cs="Arial"/>
          <w:color w:val="000000"/>
          <w:sz w:val="22"/>
          <w:szCs w:val="22"/>
          <w:lang w:val="en-US"/>
        </w:rPr>
        <w:t xml:space="preserve">, an open source seismic hazard and risk calculation software developed, maintained and distributed by the Global Earthquake Model </w:t>
      </w:r>
      <w:r w:rsidR="003D328B" w:rsidRPr="00CA7FAF">
        <w:rPr>
          <w:rFonts w:ascii="TitilliumText22L Light" w:hAnsi="TitilliumText22L Light" w:cs="Arial"/>
          <w:color w:val="000000"/>
          <w:sz w:val="22"/>
          <w:szCs w:val="22"/>
          <w:lang w:val="en-US"/>
        </w:rPr>
        <w:t>Foundation</w:t>
      </w:r>
      <w:r w:rsidR="009219D4" w:rsidRPr="00CA7FAF">
        <w:rPr>
          <w:rFonts w:ascii="TitilliumText22L Light" w:hAnsi="TitilliumText22L Light" w:cs="Arial"/>
          <w:color w:val="000000"/>
          <w:sz w:val="22"/>
          <w:szCs w:val="22"/>
          <w:lang w:val="en-US"/>
        </w:rPr>
        <w:t>.</w:t>
      </w:r>
      <w:r w:rsidR="009F33F7" w:rsidRPr="00CA7FAF">
        <w:rPr>
          <w:rFonts w:ascii="TitilliumText22L Light" w:hAnsi="TitilliumText22L Light" w:cs="Arial"/>
          <w:color w:val="000000"/>
          <w:sz w:val="22"/>
          <w:szCs w:val="22"/>
          <w:lang w:val="en-US"/>
        </w:rPr>
        <w:t xml:space="preserve"> In the next sections we will review the most important results and product</w:t>
      </w:r>
      <w:r w:rsidR="009975D8" w:rsidRPr="00CA7FAF">
        <w:rPr>
          <w:rFonts w:ascii="TitilliumText22L Light" w:hAnsi="TitilliumText22L Light" w:cs="Arial"/>
          <w:color w:val="000000"/>
          <w:sz w:val="22"/>
          <w:szCs w:val="22"/>
          <w:lang w:val="en-US"/>
        </w:rPr>
        <w:t>s</w:t>
      </w:r>
      <w:r w:rsidR="009F33F7" w:rsidRPr="00CA7FAF">
        <w:rPr>
          <w:rFonts w:ascii="TitilliumText22L Light" w:hAnsi="TitilliumText22L Light" w:cs="Arial"/>
          <w:color w:val="000000"/>
          <w:sz w:val="22"/>
          <w:szCs w:val="22"/>
          <w:lang w:val="en-US"/>
        </w:rPr>
        <w:t xml:space="preserve"> of the </w:t>
      </w:r>
      <w:r w:rsidR="009975D8" w:rsidRPr="00CA7FAF">
        <w:rPr>
          <w:rFonts w:ascii="TitilliumText22L Light" w:hAnsi="TitilliumText22L Light" w:cs="Arial"/>
          <w:color w:val="000000"/>
          <w:sz w:val="22"/>
          <w:szCs w:val="22"/>
          <w:lang w:val="en-US"/>
        </w:rPr>
        <w:t>SSA model.</w:t>
      </w:r>
    </w:p>
    <w:p w14:paraId="3A65C313" w14:textId="37D00D47" w:rsidR="007F22AE" w:rsidRPr="00400BC8" w:rsidRDefault="00AB751E" w:rsidP="00CA7FAF">
      <w:pPr>
        <w:spacing w:after="200" w:line="276" w:lineRule="auto"/>
        <w:jc w:val="both"/>
        <w:rPr>
          <w:rFonts w:ascii="TitilliumText22L Light" w:hAnsi="TitilliumText22L Light" w:cs="Times New Roman"/>
          <w:b/>
          <w:sz w:val="28"/>
          <w:szCs w:val="28"/>
          <w:lang w:val="en-US"/>
        </w:rPr>
      </w:pPr>
      <w:r w:rsidRPr="00400BC8">
        <w:rPr>
          <w:rFonts w:ascii="TitilliumText22L Light" w:hAnsi="TitilliumText22L Light" w:cs="Arial"/>
          <w:b/>
          <w:color w:val="000000"/>
          <w:sz w:val="28"/>
          <w:szCs w:val="28"/>
          <w:lang w:val="en-US"/>
        </w:rPr>
        <w:t>Main Results</w:t>
      </w:r>
    </w:p>
    <w:p w14:paraId="42D2AB30" w14:textId="439A3D00" w:rsidR="00AB751E" w:rsidRPr="00400BC8" w:rsidRDefault="0043677E" w:rsidP="00CA7FAF">
      <w:pPr>
        <w:spacing w:after="200" w:line="276" w:lineRule="auto"/>
        <w:jc w:val="both"/>
        <w:rPr>
          <w:rFonts w:ascii="TitilliumText22L Light" w:eastAsia="Times New Roman" w:hAnsi="TitilliumText22L Light" w:cs="Arial"/>
          <w:i/>
          <w:color w:val="000000"/>
          <w:lang w:val="en-US"/>
        </w:rPr>
      </w:pPr>
      <w:r w:rsidRPr="00400BC8">
        <w:rPr>
          <w:rFonts w:ascii="TitilliumText22L Light" w:eastAsia="Times New Roman" w:hAnsi="TitilliumText22L Light" w:cs="Arial"/>
          <w:i/>
          <w:color w:val="000000"/>
          <w:lang w:val="en-US"/>
        </w:rPr>
        <w:t>The SSA-GEM homogenized catalogue</w:t>
      </w:r>
    </w:p>
    <w:p w14:paraId="5FDD8343" w14:textId="3710AF78" w:rsidR="00180A1D" w:rsidRPr="001F3E1A" w:rsidRDefault="00400BC8" w:rsidP="00CA7FAF">
      <w:pPr>
        <w:spacing w:after="200" w:line="276" w:lineRule="auto"/>
        <w:jc w:val="both"/>
        <w:rPr>
          <w:rFonts w:ascii="TitilliumText22L Light" w:hAnsi="TitilliumText22L Light" w:cs="Arial"/>
          <w:color w:val="000000"/>
          <w:sz w:val="22"/>
          <w:szCs w:val="22"/>
          <w:lang w:val="en-US"/>
        </w:rPr>
      </w:pPr>
      <w:r w:rsidRPr="00CA7FAF">
        <w:rPr>
          <w:rFonts w:ascii="TitilliumText22L Light" w:hAnsi="TitilliumText22L Light" w:cs="Arial"/>
          <w:color w:val="000000"/>
          <w:sz w:val="22"/>
          <w:szCs w:val="22"/>
          <w:lang w:val="en-US"/>
        </w:rPr>
        <w:t xml:space="preserve">The final catalogue consists of 29803 </w:t>
      </w:r>
      <w:r w:rsidR="00107F3F">
        <w:rPr>
          <w:rFonts w:ascii="TitilliumText22L Light" w:hAnsi="TitilliumText22L Light" w:cs="Arial"/>
          <w:color w:val="000000"/>
          <w:sz w:val="22"/>
          <w:szCs w:val="22"/>
          <w:lang w:val="en-US"/>
        </w:rPr>
        <w:t xml:space="preserve">earthquakes </w:t>
      </w:r>
      <w:r w:rsidR="00BC4C5A">
        <w:rPr>
          <w:rFonts w:ascii="TitilliumText22L Light" w:hAnsi="TitilliumText22L Light" w:cs="Arial"/>
          <w:color w:val="000000"/>
          <w:sz w:val="22"/>
          <w:szCs w:val="22"/>
          <w:lang w:val="en-US"/>
        </w:rPr>
        <w:t>with</w:t>
      </w:r>
      <w:r w:rsidR="00107F3F">
        <w:rPr>
          <w:rFonts w:ascii="TitilliumText22L Light" w:hAnsi="TitilliumText22L Light" w:cs="Arial"/>
          <w:color w:val="000000"/>
          <w:sz w:val="22"/>
          <w:szCs w:val="22"/>
          <w:lang w:val="en-US"/>
        </w:rPr>
        <w:t xml:space="preserve"> magnitude </w:t>
      </w:r>
      <w:r w:rsidRPr="00CA7FAF">
        <w:rPr>
          <w:rFonts w:ascii="TitilliumText22L Light" w:hAnsi="TitilliumText22L Light" w:cs="Arial"/>
          <w:color w:val="000000"/>
          <w:sz w:val="22"/>
          <w:szCs w:val="22"/>
          <w:lang w:val="en-US"/>
        </w:rPr>
        <w:t>in the range 2 ≤ Mw ≤ 7.53.</w:t>
      </w:r>
      <w:r w:rsidR="00107F3F">
        <w:rPr>
          <w:rFonts w:ascii="TitilliumText22L Light" w:hAnsi="TitilliumText22L Light" w:cs="Arial"/>
          <w:color w:val="000000"/>
          <w:sz w:val="22"/>
          <w:szCs w:val="22"/>
          <w:lang w:val="en-US"/>
        </w:rPr>
        <w:t xml:space="preserve"> Figure </w:t>
      </w:r>
      <w:r w:rsidR="00BC4C5A">
        <w:rPr>
          <w:rFonts w:ascii="TitilliumText22L Light" w:hAnsi="TitilliumText22L Light" w:cs="Arial"/>
          <w:color w:val="000000"/>
          <w:sz w:val="22"/>
          <w:szCs w:val="22"/>
          <w:lang w:val="en-US"/>
        </w:rPr>
        <w:t>1 shows the spatial distribution of the epicenters of the earthquakes included in this catalogue.</w:t>
      </w:r>
      <w:r w:rsidR="008407DD">
        <w:rPr>
          <w:rFonts w:ascii="TitilliumText22L Light" w:hAnsi="TitilliumText22L Light" w:cs="Arial"/>
          <w:color w:val="000000"/>
          <w:sz w:val="22"/>
          <w:szCs w:val="22"/>
          <w:lang w:val="en-US"/>
        </w:rPr>
        <w:t xml:space="preserve"> The right panel in the same figure emphasizes the lack of earthquake information collected in Sub-Saharan Africa before the 1960s.</w:t>
      </w:r>
    </w:p>
    <w:p w14:paraId="39BE7B25" w14:textId="181057C8" w:rsidR="00FA4282" w:rsidRPr="00514AC8" w:rsidRDefault="0017180B" w:rsidP="00CA7FAF">
      <w:pPr>
        <w:spacing w:after="200" w:line="276" w:lineRule="auto"/>
        <w:jc w:val="both"/>
        <w:rPr>
          <w:rFonts w:ascii="TitilliumText22L Light" w:eastAsia="Times New Roman" w:hAnsi="TitilliumText22L Light" w:cs="Arial"/>
          <w:i/>
          <w:color w:val="000000"/>
          <w:lang w:val="en-US"/>
        </w:rPr>
      </w:pPr>
      <w:r w:rsidRPr="00514AC8">
        <w:rPr>
          <w:rFonts w:ascii="TitilliumText22L Light" w:eastAsia="Times New Roman" w:hAnsi="TitilliumText22L Light" w:cs="Arial"/>
          <w:i/>
          <w:color w:val="000000"/>
          <w:lang w:val="en-US"/>
        </w:rPr>
        <w:t>Seismic Source Zones</w:t>
      </w:r>
    </w:p>
    <w:p w14:paraId="7B569221" w14:textId="0C485558" w:rsidR="008D7D66" w:rsidRPr="0099690B" w:rsidRDefault="009D1618" w:rsidP="00CA7FAF">
      <w:pPr>
        <w:spacing w:after="200" w:line="276" w:lineRule="auto"/>
        <w:jc w:val="both"/>
        <w:rPr>
          <w:rFonts w:ascii="TitilliumText22L Light" w:eastAsia="Times New Roman" w:hAnsi="TitilliumText22L Light" w:cs="Arial"/>
          <w:color w:val="000000"/>
          <w:sz w:val="22"/>
          <w:szCs w:val="22"/>
          <w:lang w:val="en-US"/>
        </w:rPr>
      </w:pPr>
      <w:r w:rsidRPr="00CA7FAF">
        <w:rPr>
          <w:rFonts w:ascii="TitilliumText22L Light" w:eastAsia="Times New Roman" w:hAnsi="TitilliumText22L Light" w:cs="Arial"/>
          <w:color w:val="000000"/>
          <w:sz w:val="22"/>
          <w:szCs w:val="22"/>
          <w:lang w:val="en-US"/>
        </w:rPr>
        <w:t xml:space="preserve">The current area source model </w:t>
      </w:r>
      <w:r w:rsidR="002E05E9" w:rsidRPr="00CA7FAF">
        <w:rPr>
          <w:rFonts w:ascii="TitilliumText22L Light" w:eastAsia="Times New Roman" w:hAnsi="TitilliumText22L Light" w:cs="Arial"/>
          <w:color w:val="000000"/>
          <w:sz w:val="22"/>
          <w:szCs w:val="22"/>
          <w:lang w:val="en-US"/>
        </w:rPr>
        <w:t>(figure 2)</w:t>
      </w:r>
      <w:r w:rsidR="007C57F7" w:rsidRPr="00CA7FAF">
        <w:rPr>
          <w:rFonts w:ascii="TitilliumText22L Light" w:eastAsia="Times New Roman" w:hAnsi="TitilliumText22L Light" w:cs="Arial"/>
          <w:color w:val="000000"/>
          <w:sz w:val="22"/>
          <w:szCs w:val="22"/>
          <w:lang w:val="en-US"/>
        </w:rPr>
        <w:t xml:space="preserve"> </w:t>
      </w:r>
      <w:r w:rsidRPr="00CA7FAF">
        <w:rPr>
          <w:rFonts w:ascii="TitilliumText22L Light" w:eastAsia="Times New Roman" w:hAnsi="TitilliumText22L Light" w:cs="Arial"/>
          <w:color w:val="000000"/>
          <w:sz w:val="22"/>
          <w:szCs w:val="22"/>
          <w:lang w:val="en-US"/>
        </w:rPr>
        <w:t xml:space="preserve">consists of a total of 19 zones distributed over 6 main tectonic groups, which we assume of homogenous rheological and mechanical behavior with respect to the underlying crustal geology. </w:t>
      </w:r>
      <w:proofErr w:type="gramStart"/>
      <w:r w:rsidR="00D015F4" w:rsidRPr="00CA7FAF">
        <w:rPr>
          <w:rFonts w:ascii="TitilliumText22L Light" w:eastAsia="Times New Roman" w:hAnsi="TitilliumText22L Light" w:cs="Arial"/>
          <w:color w:val="000000"/>
          <w:sz w:val="22"/>
          <w:szCs w:val="22"/>
          <w:lang w:val="en-US"/>
        </w:rPr>
        <w:t>Seismic z</w:t>
      </w:r>
      <w:r w:rsidRPr="00CA7FAF">
        <w:rPr>
          <w:rFonts w:ascii="TitilliumText22L Light" w:eastAsia="Times New Roman" w:hAnsi="TitilliumText22L Light" w:cs="Arial"/>
          <w:color w:val="000000"/>
          <w:sz w:val="22"/>
          <w:szCs w:val="22"/>
          <w:lang w:val="en-US"/>
        </w:rPr>
        <w:t>ones have been delineated by considering the distribution of observed</w:t>
      </w:r>
      <w:r w:rsidR="0072347D" w:rsidRPr="00CA7FAF">
        <w:rPr>
          <w:rFonts w:ascii="TitilliumText22L Light" w:eastAsia="Times New Roman" w:hAnsi="TitilliumText22L Light" w:cs="Arial"/>
          <w:color w:val="000000"/>
          <w:sz w:val="22"/>
          <w:szCs w:val="22"/>
          <w:lang w:val="en-US"/>
        </w:rPr>
        <w:t xml:space="preserve"> seismicity (from SSA-GEM catalogue) and the </w:t>
      </w:r>
      <w:r w:rsidRPr="00CA7FAF">
        <w:rPr>
          <w:rFonts w:ascii="TitilliumText22L Light" w:eastAsia="Times New Roman" w:hAnsi="TitilliumText22L Light" w:cs="Arial"/>
          <w:color w:val="000000"/>
          <w:sz w:val="22"/>
          <w:szCs w:val="22"/>
          <w:lang w:val="en-US"/>
        </w:rPr>
        <w:t>geological/tectonic characteristics of the study region</w:t>
      </w:r>
      <w:proofErr w:type="gramEnd"/>
      <w:r w:rsidRPr="00CA7FAF">
        <w:rPr>
          <w:rFonts w:ascii="TitilliumText22L Light" w:eastAsia="Times New Roman" w:hAnsi="TitilliumText22L Light" w:cs="Arial"/>
          <w:color w:val="000000"/>
          <w:sz w:val="22"/>
          <w:szCs w:val="22"/>
          <w:lang w:val="en-US"/>
        </w:rPr>
        <w:t>.</w:t>
      </w:r>
      <w:r w:rsidR="00F47F00" w:rsidRPr="00CA7FAF">
        <w:rPr>
          <w:rFonts w:ascii="TitilliumText22L Light" w:eastAsia="Times New Roman" w:hAnsi="TitilliumText22L Light" w:cs="Arial"/>
          <w:color w:val="000000"/>
          <w:sz w:val="22"/>
          <w:szCs w:val="22"/>
          <w:lang w:val="en-US"/>
        </w:rPr>
        <w:t xml:space="preserve"> For each zone, we defined source mechanism (strike, dip and rake), depth distribut</w:t>
      </w:r>
      <w:r w:rsidR="006C125E" w:rsidRPr="00CA7FAF">
        <w:rPr>
          <w:rFonts w:ascii="TitilliumText22L Light" w:eastAsia="Times New Roman" w:hAnsi="TitilliumText22L Light" w:cs="Arial"/>
          <w:color w:val="000000"/>
          <w:sz w:val="22"/>
          <w:szCs w:val="22"/>
          <w:lang w:val="en-US"/>
        </w:rPr>
        <w:t>ion and seismicity parameters for</w:t>
      </w:r>
      <w:r w:rsidR="00F47F00" w:rsidRPr="00CA7FAF">
        <w:rPr>
          <w:rFonts w:ascii="TitilliumText22L Light" w:eastAsia="Times New Roman" w:hAnsi="TitilliumText22L Light" w:cs="Arial"/>
          <w:color w:val="000000"/>
          <w:sz w:val="22"/>
          <w:szCs w:val="22"/>
          <w:lang w:val="en-US"/>
        </w:rPr>
        <w:t xml:space="preserve"> a double truncated Gutenberg-Richter magnitude-frequency distribution (a- and b-values, maximum magnitude M</w:t>
      </w:r>
      <w:r w:rsidR="00F47F00" w:rsidRPr="00CA7FAF">
        <w:rPr>
          <w:rFonts w:ascii="TitilliumText22L Light" w:eastAsia="Times New Roman" w:hAnsi="TitilliumText22L Light" w:cs="Arial"/>
          <w:color w:val="000000"/>
          <w:sz w:val="22"/>
          <w:szCs w:val="22"/>
          <w:vertAlign w:val="subscript"/>
          <w:lang w:val="en-US"/>
        </w:rPr>
        <w:t>MAX</w:t>
      </w:r>
      <w:r w:rsidR="00151E35" w:rsidRPr="00710061">
        <w:rPr>
          <w:rFonts w:ascii="TitilliumText22L Light" w:eastAsia="Times New Roman" w:hAnsi="TitilliumText22L Light" w:cs="Arial"/>
          <w:color w:val="000000"/>
          <w:sz w:val="22"/>
          <w:szCs w:val="22"/>
          <w:lang w:val="en-US"/>
        </w:rPr>
        <w:t xml:space="preserve">, </w:t>
      </w:r>
      <w:r w:rsidR="00151E35">
        <w:rPr>
          <w:rFonts w:ascii="TitilliumText22L Light" w:eastAsia="Times New Roman" w:hAnsi="TitilliumText22L Light" w:cs="Arial"/>
          <w:color w:val="000000"/>
          <w:sz w:val="22"/>
          <w:szCs w:val="22"/>
          <w:lang w:val="en-US"/>
        </w:rPr>
        <w:t>e.g</w:t>
      </w:r>
      <w:r w:rsidR="00710061">
        <w:rPr>
          <w:rFonts w:ascii="TitilliumText22L Light" w:eastAsia="Times New Roman" w:hAnsi="TitilliumText22L Light" w:cs="Arial"/>
          <w:color w:val="000000"/>
          <w:sz w:val="22"/>
          <w:szCs w:val="22"/>
          <w:lang w:val="en-US"/>
        </w:rPr>
        <w:t>. figure 3</w:t>
      </w:r>
      <w:r w:rsidR="00F47F00" w:rsidRPr="00CA7FAF">
        <w:rPr>
          <w:rFonts w:ascii="TitilliumText22L Light" w:eastAsia="Times New Roman" w:hAnsi="TitilliumText22L Light" w:cs="Arial"/>
          <w:color w:val="000000"/>
          <w:sz w:val="22"/>
          <w:szCs w:val="22"/>
          <w:lang w:val="en-US"/>
        </w:rPr>
        <w:t>).</w:t>
      </w:r>
    </w:p>
    <w:p w14:paraId="17CBB714" w14:textId="4330FE37" w:rsidR="006C3EBC" w:rsidRPr="008D7D66" w:rsidRDefault="00963D32" w:rsidP="00CA7FAF">
      <w:pPr>
        <w:spacing w:after="200" w:line="276" w:lineRule="auto"/>
        <w:jc w:val="both"/>
        <w:rPr>
          <w:rFonts w:ascii="TitilliumText22L Light" w:eastAsia="Times New Roman" w:hAnsi="TitilliumText22L Light" w:cs="Arial"/>
          <w:i/>
          <w:color w:val="000000"/>
          <w:lang w:val="en-US"/>
        </w:rPr>
      </w:pPr>
      <w:r w:rsidRPr="008D7D66">
        <w:rPr>
          <w:rFonts w:ascii="TitilliumText22L Light" w:eastAsia="Times New Roman" w:hAnsi="TitilliumText22L Light" w:cs="Arial"/>
          <w:i/>
          <w:color w:val="000000"/>
          <w:lang w:val="en-US"/>
        </w:rPr>
        <w:t xml:space="preserve">Probabilistic </w:t>
      </w:r>
      <w:r w:rsidR="007F24EA" w:rsidRPr="008D7D66">
        <w:rPr>
          <w:rFonts w:ascii="TitilliumText22L Light" w:eastAsia="Times New Roman" w:hAnsi="TitilliumText22L Light" w:cs="Arial"/>
          <w:i/>
          <w:color w:val="000000"/>
          <w:lang w:val="en-US"/>
        </w:rPr>
        <w:t>Hazard Calculations</w:t>
      </w:r>
    </w:p>
    <w:p w14:paraId="1459F4A0" w14:textId="3BF869ED" w:rsidR="0099690B" w:rsidRDefault="00667D0C" w:rsidP="00CA7FAF">
      <w:pPr>
        <w:spacing w:after="200" w:line="276" w:lineRule="auto"/>
        <w:jc w:val="both"/>
        <w:rPr>
          <w:rFonts w:ascii="TitilliumText22L Light" w:hAnsi="TitilliumText22L Light" w:cs="Arial"/>
          <w:color w:val="000000"/>
          <w:sz w:val="22"/>
          <w:szCs w:val="22"/>
          <w:lang w:val="en-US"/>
        </w:rPr>
      </w:pPr>
      <w:r>
        <w:rPr>
          <w:rFonts w:ascii="TitilliumText22L Light" w:hAnsi="TitilliumText22L Light" w:cs="Arial"/>
          <w:color w:val="000000"/>
          <w:sz w:val="22"/>
          <w:szCs w:val="22"/>
          <w:lang w:val="en-US"/>
        </w:rPr>
        <w:t>The i</w:t>
      </w:r>
      <w:r w:rsidR="00746A5F" w:rsidRPr="00CA7FAF">
        <w:rPr>
          <w:rFonts w:ascii="TitilliumText22L Light" w:hAnsi="TitilliumText22L Light" w:cs="Arial"/>
          <w:color w:val="000000"/>
          <w:sz w:val="22"/>
          <w:szCs w:val="22"/>
          <w:lang w:val="en-US"/>
        </w:rPr>
        <w:t>nvestigat</w:t>
      </w:r>
      <w:r>
        <w:rPr>
          <w:rFonts w:ascii="TitilliumText22L Light" w:hAnsi="TitilliumText22L Light" w:cs="Arial"/>
          <w:color w:val="000000"/>
          <w:sz w:val="22"/>
          <w:szCs w:val="22"/>
          <w:lang w:val="en-US"/>
        </w:rPr>
        <w:t>ed</w:t>
      </w:r>
      <w:r w:rsidR="00746A5F" w:rsidRPr="00CA7FAF">
        <w:rPr>
          <w:rFonts w:ascii="TitilliumText22L Light" w:hAnsi="TitilliumText22L Light" w:cs="Arial"/>
          <w:color w:val="000000"/>
          <w:sz w:val="22"/>
          <w:szCs w:val="22"/>
          <w:lang w:val="en-US"/>
        </w:rPr>
        <w:t xml:space="preserve"> area consists of a mesh of 79109 sites spaced at approximate</w:t>
      </w:r>
      <w:r w:rsidR="00480CDA" w:rsidRPr="00CA7FAF">
        <w:rPr>
          <w:rFonts w:ascii="TitilliumText22L Light" w:hAnsi="TitilliumText22L Light" w:cs="Arial"/>
          <w:color w:val="000000"/>
          <w:sz w:val="22"/>
          <w:szCs w:val="22"/>
          <w:lang w:val="en-US"/>
        </w:rPr>
        <w:t>ly 10 km. Such area includes</w:t>
      </w:r>
      <w:r w:rsidR="00746A5F" w:rsidRPr="00CA7FAF">
        <w:rPr>
          <w:rFonts w:ascii="TitilliumText22L Light" w:hAnsi="TitilliumText22L Light" w:cs="Arial"/>
          <w:color w:val="000000"/>
          <w:sz w:val="22"/>
          <w:szCs w:val="22"/>
          <w:lang w:val="en-US"/>
        </w:rPr>
        <w:t xml:space="preserve"> </w:t>
      </w:r>
      <w:r w:rsidR="00480CDA" w:rsidRPr="00CA7FAF">
        <w:rPr>
          <w:rFonts w:ascii="TitilliumText22L Light" w:hAnsi="TitilliumText22L Light" w:cs="Arial"/>
          <w:color w:val="000000"/>
          <w:sz w:val="22"/>
          <w:szCs w:val="22"/>
          <w:lang w:val="en-US"/>
        </w:rPr>
        <w:t xml:space="preserve">the </w:t>
      </w:r>
      <w:r w:rsidR="00746A5F" w:rsidRPr="00CA7FAF">
        <w:rPr>
          <w:rFonts w:ascii="TitilliumText22L Light" w:hAnsi="TitilliumText22L Light" w:cs="Arial"/>
          <w:color w:val="000000"/>
          <w:sz w:val="22"/>
          <w:szCs w:val="22"/>
          <w:lang w:val="en-US"/>
        </w:rPr>
        <w:t>earthquake source zones</w:t>
      </w:r>
      <w:r w:rsidR="00480CDA" w:rsidRPr="00CA7FAF">
        <w:rPr>
          <w:rFonts w:ascii="TitilliumText22L Light" w:hAnsi="TitilliumText22L Light" w:cs="Arial"/>
          <w:color w:val="000000"/>
          <w:sz w:val="22"/>
          <w:szCs w:val="22"/>
          <w:lang w:val="en-US"/>
        </w:rPr>
        <w:t xml:space="preserve"> of the model</w:t>
      </w:r>
      <w:r w:rsidR="00746A5F" w:rsidRPr="00CA7FAF">
        <w:rPr>
          <w:rFonts w:ascii="TitilliumText22L Light" w:hAnsi="TitilliumText22L Light" w:cs="Arial"/>
          <w:color w:val="000000"/>
          <w:sz w:val="22"/>
          <w:szCs w:val="22"/>
          <w:lang w:val="en-US"/>
        </w:rPr>
        <w:t>, plus a buffer region of not less than about 100 km. For each site of the mesh, free rock conditions are assumed, with a fixed 30-metre averaged shear-wave velocity (Vs30) reference of 600 m/s (corresponding to stiff soil transition in EC8 and NERHP classification).</w:t>
      </w:r>
    </w:p>
    <w:p w14:paraId="4DF2E191" w14:textId="5A0A57BE" w:rsidR="00BD1806" w:rsidRPr="00CA7FAF" w:rsidRDefault="00BD1806" w:rsidP="00CA7FAF">
      <w:pPr>
        <w:spacing w:after="200" w:line="276" w:lineRule="auto"/>
        <w:jc w:val="both"/>
        <w:rPr>
          <w:rFonts w:ascii="TitilliumText22L Light" w:hAnsi="TitilliumText22L Light" w:cs="Arial"/>
          <w:color w:val="000000"/>
          <w:sz w:val="22"/>
          <w:szCs w:val="22"/>
          <w:lang w:val="en-US"/>
        </w:rPr>
      </w:pPr>
      <w:r w:rsidRPr="00CA7FAF">
        <w:rPr>
          <w:rFonts w:ascii="TitilliumText22L Light" w:hAnsi="TitilliumText22L Light" w:cs="Arial"/>
          <w:color w:val="000000"/>
          <w:sz w:val="22"/>
          <w:szCs w:val="22"/>
          <w:lang w:val="en-US"/>
        </w:rPr>
        <w:t>Target ground motion intensity for calculation is 5% damped response spectral acceleration (in g), estimated for probabilities of exceedance of 10% and 2% within an investigation time of 50 years. This corresponds respectively to return periods of about 2474 and 474 years. Due to the substantial lack of historical records for proper calibration of the large magnitude rates, we avoid using longer return periods.</w:t>
      </w:r>
    </w:p>
    <w:p w14:paraId="7E655826" w14:textId="5E0BF780" w:rsidR="00B255A4" w:rsidRPr="00CA7FAF" w:rsidRDefault="00BD1806" w:rsidP="00CA7FAF">
      <w:pPr>
        <w:spacing w:after="200" w:line="276" w:lineRule="auto"/>
        <w:jc w:val="both"/>
        <w:rPr>
          <w:rFonts w:ascii="TitilliumText22L Light" w:hAnsi="TitilliumText22L Light" w:cs="Arial"/>
          <w:color w:val="000000"/>
          <w:sz w:val="22"/>
          <w:szCs w:val="22"/>
          <w:lang w:val="en-US"/>
        </w:rPr>
      </w:pPr>
      <w:r w:rsidRPr="00CA7FAF">
        <w:rPr>
          <w:rFonts w:ascii="TitilliumText22L Light" w:hAnsi="TitilliumText22L Light" w:cs="Arial"/>
          <w:color w:val="000000"/>
          <w:sz w:val="22"/>
          <w:szCs w:val="22"/>
          <w:lang w:val="en-US"/>
        </w:rPr>
        <w:t xml:space="preserve">According to the possibilities of the selected GMPEs, spectral acceleration has been computed at PGA and for the response spectral periods of 0.05s, 0.1s, 0.2s, 0.5s, 1s and 2s. Ground motion integration has been conservatively truncated at 3 sigma of the </w:t>
      </w:r>
      <w:r w:rsidR="008D7D66">
        <w:rPr>
          <w:rFonts w:ascii="TitilliumText22L Light" w:hAnsi="TitilliumText22L Light" w:cs="Arial"/>
          <w:color w:val="000000"/>
          <w:sz w:val="22"/>
          <w:szCs w:val="22"/>
          <w:lang w:val="en-US"/>
        </w:rPr>
        <w:t>prediction</w:t>
      </w:r>
      <w:r w:rsidRPr="00CA7FAF">
        <w:rPr>
          <w:rFonts w:ascii="TitilliumText22L Light" w:hAnsi="TitilliumText22L Light" w:cs="Arial"/>
          <w:color w:val="000000"/>
          <w:sz w:val="22"/>
          <w:szCs w:val="22"/>
          <w:lang w:val="en-US"/>
        </w:rPr>
        <w:t xml:space="preserve">. Output of the calculation are mean and </w:t>
      </w:r>
      <w:proofErr w:type="spellStart"/>
      <w:r w:rsidRPr="00CA7FAF">
        <w:rPr>
          <w:rFonts w:ascii="TitilliumText22L Light" w:hAnsi="TitilliumText22L Light" w:cs="Arial"/>
          <w:color w:val="000000"/>
          <w:sz w:val="22"/>
          <w:szCs w:val="22"/>
          <w:lang w:val="en-US"/>
        </w:rPr>
        <w:t>quantile</w:t>
      </w:r>
      <w:proofErr w:type="spellEnd"/>
      <w:r w:rsidRPr="00CA7FAF">
        <w:rPr>
          <w:rFonts w:ascii="TitilliumText22L Light" w:hAnsi="TitilliumText22L Light" w:cs="Arial"/>
          <w:color w:val="000000"/>
          <w:sz w:val="22"/>
          <w:szCs w:val="22"/>
          <w:lang w:val="en-US"/>
        </w:rPr>
        <w:t xml:space="preserve"> (0.15, 0.5 and 0.85) hazard curves at each site, together with Uniform Hazard Spectra (UHS</w:t>
      </w:r>
      <w:r w:rsidR="00151E35">
        <w:rPr>
          <w:rFonts w:ascii="TitilliumText22L Light" w:hAnsi="TitilliumText22L Light" w:cs="Arial"/>
          <w:color w:val="000000"/>
          <w:sz w:val="22"/>
          <w:szCs w:val="22"/>
          <w:lang w:val="en-US"/>
        </w:rPr>
        <w:t>) and hazard maps (e.g. Figure 4 and 5</w:t>
      </w:r>
      <w:r w:rsidRPr="00CA7FAF">
        <w:rPr>
          <w:rFonts w:ascii="TitilliumText22L Light" w:hAnsi="TitilliumText22L Light" w:cs="Arial"/>
          <w:color w:val="000000"/>
          <w:sz w:val="22"/>
          <w:szCs w:val="22"/>
          <w:lang w:val="en-US"/>
        </w:rPr>
        <w:t>).</w:t>
      </w:r>
    </w:p>
    <w:p w14:paraId="67AB7641" w14:textId="1542330C" w:rsidR="00BD46C5" w:rsidRPr="008D7D66" w:rsidRDefault="00BD46C5" w:rsidP="00CA7FAF">
      <w:pPr>
        <w:spacing w:after="200" w:line="276" w:lineRule="auto"/>
        <w:jc w:val="both"/>
        <w:rPr>
          <w:rFonts w:ascii="TitilliumText22L Light" w:eastAsia="Times New Roman" w:hAnsi="TitilliumText22L Light" w:cs="Arial"/>
          <w:i/>
          <w:color w:val="000000"/>
          <w:lang w:val="en-US"/>
        </w:rPr>
      </w:pPr>
      <w:r w:rsidRPr="008D7D66">
        <w:rPr>
          <w:rFonts w:ascii="TitilliumText22L Light" w:eastAsia="Times New Roman" w:hAnsi="TitilliumText22L Light" w:cs="Arial"/>
          <w:i/>
          <w:color w:val="000000"/>
          <w:lang w:val="en-US"/>
        </w:rPr>
        <w:t>The Strain Rate Model</w:t>
      </w:r>
    </w:p>
    <w:p w14:paraId="3080D43C" w14:textId="03F30CCD" w:rsidR="0099690B" w:rsidRPr="00CA7FAF" w:rsidRDefault="007131C5" w:rsidP="00CA7FAF">
      <w:pPr>
        <w:spacing w:after="200" w:line="276" w:lineRule="auto"/>
        <w:jc w:val="both"/>
        <w:rPr>
          <w:rFonts w:ascii="TitilliumText22L Light" w:hAnsi="TitilliumText22L Light" w:cs="Arial"/>
          <w:color w:val="000000"/>
          <w:sz w:val="22"/>
          <w:szCs w:val="22"/>
          <w:lang w:val="en-US"/>
        </w:rPr>
      </w:pPr>
      <w:r w:rsidRPr="00CA7FAF">
        <w:rPr>
          <w:rFonts w:ascii="TitilliumText22L Light" w:hAnsi="TitilliumText22L Light" w:cs="Arial"/>
          <w:color w:val="000000"/>
          <w:sz w:val="22"/>
          <w:szCs w:val="22"/>
          <w:lang w:val="en-US"/>
        </w:rPr>
        <w:t>To compensate the general lack of information on long-period earthquake occurrence, we experiment</w:t>
      </w:r>
      <w:r w:rsidR="00F7452A" w:rsidRPr="00CA7FAF">
        <w:rPr>
          <w:rFonts w:ascii="TitilliumText22L Light" w:hAnsi="TitilliumText22L Light" w:cs="Arial"/>
          <w:color w:val="000000"/>
          <w:sz w:val="22"/>
          <w:szCs w:val="22"/>
          <w:lang w:val="en-US"/>
        </w:rPr>
        <w:t>ed</w:t>
      </w:r>
      <w:r w:rsidRPr="00CA7FAF">
        <w:rPr>
          <w:rFonts w:ascii="TitilliumText22L Light" w:hAnsi="TitilliumText22L Light" w:cs="Arial"/>
          <w:color w:val="000000"/>
          <w:sz w:val="22"/>
          <w:szCs w:val="22"/>
          <w:lang w:val="en-US"/>
        </w:rPr>
        <w:t xml:space="preserve"> the use of strain rate information. </w:t>
      </w:r>
      <w:proofErr w:type="gramStart"/>
      <w:r w:rsidRPr="00CA7FAF">
        <w:rPr>
          <w:rFonts w:ascii="TitilliumText22L Light" w:hAnsi="TitilliumText22L Light" w:cs="Arial"/>
          <w:color w:val="000000"/>
          <w:sz w:val="22"/>
          <w:szCs w:val="22"/>
          <w:lang w:val="en-US"/>
        </w:rPr>
        <w:t xml:space="preserve">A </w:t>
      </w:r>
      <w:r w:rsidR="00F7452A" w:rsidRPr="00CA7FAF">
        <w:rPr>
          <w:rFonts w:ascii="TitilliumText22L Light" w:hAnsi="TitilliumText22L Light" w:cs="Arial"/>
          <w:color w:val="000000"/>
          <w:sz w:val="22"/>
          <w:szCs w:val="22"/>
          <w:lang w:val="en-US"/>
        </w:rPr>
        <w:t>strain-</w:t>
      </w:r>
      <w:r w:rsidRPr="00CA7FAF">
        <w:rPr>
          <w:rFonts w:ascii="TitilliumText22L Light" w:hAnsi="TitilliumText22L Light" w:cs="Arial"/>
          <w:color w:val="000000"/>
          <w:sz w:val="22"/>
          <w:szCs w:val="22"/>
          <w:lang w:val="en-US"/>
        </w:rPr>
        <w:t xml:space="preserve">rate model </w:t>
      </w:r>
      <w:r w:rsidR="00C910A1" w:rsidRPr="00CA7FAF">
        <w:rPr>
          <w:rFonts w:ascii="TitilliumText22L Light" w:hAnsi="TitilliumText22L Light" w:cs="Arial"/>
          <w:color w:val="000000"/>
          <w:sz w:val="22"/>
          <w:szCs w:val="22"/>
          <w:lang w:val="en-US"/>
        </w:rPr>
        <w:t xml:space="preserve">for the EARS </w:t>
      </w:r>
      <w:r w:rsidRPr="00CA7FAF">
        <w:rPr>
          <w:rFonts w:ascii="TitilliumText22L Light" w:hAnsi="TitilliumText22L Light" w:cs="Arial"/>
          <w:color w:val="000000"/>
          <w:sz w:val="22"/>
          <w:szCs w:val="22"/>
          <w:lang w:val="en-US"/>
        </w:rPr>
        <w:t>has been developed by Stamps et al.</w:t>
      </w:r>
      <w:proofErr w:type="gramEnd"/>
      <w:r w:rsidRPr="00CA7FAF">
        <w:rPr>
          <w:rFonts w:ascii="TitilliumText22L Light" w:hAnsi="TitilliumText22L Light" w:cs="Arial"/>
          <w:color w:val="000000"/>
          <w:sz w:val="22"/>
          <w:szCs w:val="22"/>
          <w:lang w:val="en-US"/>
        </w:rPr>
        <w:t xml:space="preserve"> (2015) </w:t>
      </w:r>
      <w:r w:rsidR="00F7452A" w:rsidRPr="00CA7FAF">
        <w:rPr>
          <w:rFonts w:ascii="TitilliumText22L Light" w:hAnsi="TitilliumText22L Light" w:cs="Arial"/>
          <w:color w:val="000000"/>
          <w:sz w:val="22"/>
          <w:szCs w:val="22"/>
          <w:lang w:val="en-US"/>
        </w:rPr>
        <w:t>in the frame of the GEM Strain Rate Project</w:t>
      </w:r>
      <w:r w:rsidR="00274AD3">
        <w:rPr>
          <w:rFonts w:ascii="TitilliumText22L Light" w:hAnsi="TitilliumText22L Light" w:cs="Arial"/>
          <w:color w:val="000000"/>
          <w:sz w:val="22"/>
          <w:szCs w:val="22"/>
          <w:lang w:val="en-US"/>
        </w:rPr>
        <w:t xml:space="preserve"> (figure 6)</w:t>
      </w:r>
      <w:r w:rsidR="00F7452A" w:rsidRPr="00CA7FAF">
        <w:rPr>
          <w:rFonts w:ascii="TitilliumText22L Light" w:hAnsi="TitilliumText22L Light" w:cs="Arial"/>
          <w:color w:val="000000"/>
          <w:sz w:val="22"/>
          <w:szCs w:val="22"/>
          <w:lang w:val="en-US"/>
        </w:rPr>
        <w:t>.</w:t>
      </w:r>
      <w:r w:rsidR="0046360F" w:rsidRPr="00CA7FAF">
        <w:rPr>
          <w:rFonts w:ascii="TitilliumText22L Light" w:hAnsi="TitilliumText22L Light" w:cs="Arial"/>
          <w:color w:val="000000"/>
          <w:sz w:val="22"/>
          <w:szCs w:val="22"/>
          <w:lang w:val="en-US"/>
        </w:rPr>
        <w:t xml:space="preserve"> The model has been</w:t>
      </w:r>
      <w:r w:rsidR="004C6639" w:rsidRPr="00CA7FAF">
        <w:rPr>
          <w:rFonts w:ascii="TitilliumText22L Light" w:hAnsi="TitilliumText22L Light" w:cs="Arial"/>
          <w:color w:val="000000"/>
          <w:sz w:val="22"/>
          <w:szCs w:val="22"/>
          <w:lang w:val="en-US"/>
        </w:rPr>
        <w:t xml:space="preserve"> </w:t>
      </w:r>
      <w:r w:rsidR="00C532C5">
        <w:rPr>
          <w:rFonts w:ascii="TitilliumText22L Light" w:hAnsi="TitilliumText22L Light" w:cs="Arial"/>
          <w:color w:val="000000"/>
          <w:sz w:val="22"/>
          <w:szCs w:val="22"/>
          <w:lang w:val="en-US"/>
        </w:rPr>
        <w:t>created</w:t>
      </w:r>
      <w:r w:rsidR="00C532C5" w:rsidRPr="00CA7FAF">
        <w:rPr>
          <w:rFonts w:ascii="TitilliumText22L Light" w:hAnsi="TitilliumText22L Light" w:cs="Arial"/>
          <w:color w:val="000000"/>
          <w:sz w:val="22"/>
          <w:szCs w:val="22"/>
          <w:lang w:val="en-US"/>
        </w:rPr>
        <w:t xml:space="preserve"> </w:t>
      </w:r>
      <w:r w:rsidR="00C532C5">
        <w:rPr>
          <w:rFonts w:ascii="TitilliumText22L Light" w:hAnsi="TitilliumText22L Light" w:cs="Arial"/>
          <w:color w:val="000000"/>
          <w:sz w:val="22"/>
          <w:szCs w:val="22"/>
          <w:lang w:val="en-US"/>
        </w:rPr>
        <w:t>using</w:t>
      </w:r>
      <w:r w:rsidR="00C532C5" w:rsidRPr="00CA7FAF">
        <w:rPr>
          <w:rFonts w:ascii="TitilliumText22L Light" w:hAnsi="TitilliumText22L Light" w:cs="Arial"/>
          <w:color w:val="000000"/>
          <w:sz w:val="22"/>
          <w:szCs w:val="22"/>
          <w:lang w:val="en-US"/>
        </w:rPr>
        <w:t xml:space="preserve"> </w:t>
      </w:r>
      <w:r w:rsidR="004C6639" w:rsidRPr="00CA7FAF">
        <w:rPr>
          <w:rFonts w:ascii="TitilliumText22L Light" w:hAnsi="TitilliumText22L Light" w:cs="Arial"/>
          <w:color w:val="000000"/>
          <w:sz w:val="22"/>
          <w:szCs w:val="22"/>
          <w:lang w:val="en-US"/>
        </w:rPr>
        <w:t>geodetic data from continuous</w:t>
      </w:r>
      <w:r w:rsidR="0046360F" w:rsidRPr="00CA7FAF">
        <w:rPr>
          <w:rFonts w:ascii="TitilliumText22L Light" w:hAnsi="TitilliumText22L Light" w:cs="Arial"/>
          <w:color w:val="000000"/>
          <w:sz w:val="22"/>
          <w:szCs w:val="22"/>
          <w:lang w:val="en-US"/>
        </w:rPr>
        <w:t xml:space="preserve"> GPS measurements</w:t>
      </w:r>
      <w:r w:rsidR="004C6639" w:rsidRPr="00CA7FAF">
        <w:rPr>
          <w:rFonts w:ascii="TitilliumText22L Light" w:hAnsi="TitilliumText22L Light" w:cs="Arial"/>
          <w:color w:val="000000"/>
          <w:sz w:val="22"/>
          <w:szCs w:val="22"/>
          <w:lang w:val="en-US"/>
        </w:rPr>
        <w:t xml:space="preserve"> </w:t>
      </w:r>
      <w:r w:rsidR="003F364C" w:rsidRPr="00CA7FAF">
        <w:rPr>
          <w:rFonts w:ascii="TitilliumText22L Light" w:hAnsi="TitilliumText22L Light" w:cs="Arial"/>
          <w:color w:val="000000"/>
          <w:sz w:val="22"/>
          <w:szCs w:val="22"/>
          <w:lang w:val="en-US"/>
        </w:rPr>
        <w:t>and it is characterized by an innovative</w:t>
      </w:r>
      <w:r w:rsidR="0046360F" w:rsidRPr="00CA7FAF">
        <w:rPr>
          <w:rFonts w:ascii="TitilliumText22L Light" w:hAnsi="TitilliumText22L Light" w:cs="Arial"/>
          <w:color w:val="000000"/>
          <w:sz w:val="22"/>
          <w:szCs w:val="22"/>
          <w:lang w:val="en-US"/>
        </w:rPr>
        <w:t xml:space="preserve"> definition of the deforming regions guided by observed seismicity distribution. </w:t>
      </w:r>
      <w:r w:rsidR="00703300">
        <w:rPr>
          <w:rFonts w:ascii="TitilliumText22L Light" w:hAnsi="TitilliumText22L Light" w:cs="Arial"/>
          <w:color w:val="000000"/>
          <w:sz w:val="22"/>
          <w:szCs w:val="22"/>
          <w:lang w:val="en-US"/>
        </w:rPr>
        <w:t xml:space="preserve">We used the strain rate model results for the construction of the </w:t>
      </w:r>
      <w:r w:rsidR="007507EC">
        <w:rPr>
          <w:rFonts w:ascii="TitilliumText22L Light" w:hAnsi="TitilliumText22L Light" w:cs="Arial"/>
          <w:color w:val="000000"/>
          <w:sz w:val="22"/>
          <w:szCs w:val="22"/>
          <w:lang w:val="en-US"/>
        </w:rPr>
        <w:t>area source model. In addition, t</w:t>
      </w:r>
      <w:r w:rsidR="0046360F" w:rsidRPr="00CA7FAF">
        <w:rPr>
          <w:rFonts w:ascii="TitilliumText22L Light" w:hAnsi="TitilliumText22L Light" w:cs="Arial"/>
          <w:color w:val="000000"/>
          <w:sz w:val="22"/>
          <w:szCs w:val="22"/>
          <w:lang w:val="en-US"/>
        </w:rPr>
        <w:t xml:space="preserve">he </w:t>
      </w:r>
      <w:r w:rsidR="00744E12" w:rsidRPr="00CA7FAF">
        <w:rPr>
          <w:rFonts w:ascii="TitilliumText22L Light" w:hAnsi="TitilliumText22L Light" w:cs="Arial"/>
          <w:color w:val="000000"/>
          <w:sz w:val="22"/>
          <w:szCs w:val="22"/>
          <w:lang w:val="en-US"/>
        </w:rPr>
        <w:t>original goal was</w:t>
      </w:r>
      <w:r w:rsidR="0046360F" w:rsidRPr="00CA7FAF">
        <w:rPr>
          <w:rFonts w:ascii="TitilliumText22L Light" w:hAnsi="TitilliumText22L Light" w:cs="Arial"/>
          <w:color w:val="000000"/>
          <w:sz w:val="22"/>
          <w:szCs w:val="22"/>
          <w:lang w:val="en-US"/>
        </w:rPr>
        <w:t xml:space="preserve"> to </w:t>
      </w:r>
      <w:r w:rsidRPr="00CA7FAF">
        <w:rPr>
          <w:rFonts w:ascii="TitilliumText22L Light" w:hAnsi="TitilliumText22L Light" w:cs="Arial"/>
          <w:color w:val="000000"/>
          <w:sz w:val="22"/>
          <w:szCs w:val="22"/>
          <w:lang w:val="en-US"/>
        </w:rPr>
        <w:t xml:space="preserve">use the geodetic strain rates </w:t>
      </w:r>
      <w:r w:rsidR="00C84D67">
        <w:rPr>
          <w:rFonts w:ascii="TitilliumText22L Light" w:hAnsi="TitilliumText22L Light" w:cs="Arial"/>
          <w:color w:val="000000"/>
          <w:sz w:val="22"/>
          <w:szCs w:val="22"/>
          <w:lang w:val="en-US"/>
        </w:rPr>
        <w:t xml:space="preserve">also </w:t>
      </w:r>
      <w:r w:rsidRPr="00CA7FAF">
        <w:rPr>
          <w:rFonts w:ascii="TitilliumText22L Light" w:hAnsi="TitilliumText22L Light" w:cs="Arial"/>
          <w:color w:val="000000"/>
          <w:sz w:val="22"/>
          <w:szCs w:val="22"/>
          <w:lang w:val="en-US"/>
        </w:rPr>
        <w:t xml:space="preserve">to derive estimates of total scalar moment release, subsequently used to constrain earthquake recurrence relationships for both area (as distributed seismicity) and fault source models. The rates obtained indirectly from strain rates and more classically derived from the available seismic catalogues are </w:t>
      </w:r>
      <w:r w:rsidR="003107D4" w:rsidRPr="00CA7FAF">
        <w:rPr>
          <w:rFonts w:ascii="TitilliumText22L Light" w:hAnsi="TitilliumText22L Light" w:cs="Arial"/>
          <w:color w:val="000000"/>
          <w:sz w:val="22"/>
          <w:szCs w:val="22"/>
          <w:lang w:val="en-US"/>
        </w:rPr>
        <w:t>to be</w:t>
      </w:r>
      <w:r w:rsidR="00744E12" w:rsidRPr="00CA7FAF">
        <w:rPr>
          <w:rFonts w:ascii="TitilliumText22L Light" w:hAnsi="TitilliumText22L Light" w:cs="Arial"/>
          <w:color w:val="000000"/>
          <w:sz w:val="22"/>
          <w:szCs w:val="22"/>
          <w:lang w:val="en-US"/>
        </w:rPr>
        <w:t xml:space="preserve"> </w:t>
      </w:r>
      <w:r w:rsidRPr="00CA7FAF">
        <w:rPr>
          <w:rFonts w:ascii="TitilliumText22L Light" w:hAnsi="TitilliumText22L Light" w:cs="Arial"/>
          <w:color w:val="000000"/>
          <w:sz w:val="22"/>
          <w:szCs w:val="22"/>
          <w:lang w:val="en-US"/>
        </w:rPr>
        <w:t xml:space="preserve">compared and combined into a unique mixed earthquake recurrence model, which is subsequently used as the base for seismic hazard calculations. </w:t>
      </w:r>
      <w:r w:rsidR="0046360F" w:rsidRPr="00CA7FAF">
        <w:rPr>
          <w:rFonts w:ascii="TitilliumText22L Light" w:hAnsi="TitilliumText22L Light" w:cs="Arial"/>
          <w:color w:val="000000"/>
          <w:sz w:val="22"/>
          <w:szCs w:val="22"/>
          <w:lang w:val="en-US"/>
        </w:rPr>
        <w:t xml:space="preserve">Unfortunately, </w:t>
      </w:r>
      <w:r w:rsidR="00BB5A33" w:rsidRPr="00CA7FAF">
        <w:rPr>
          <w:rFonts w:ascii="TitilliumText22L Light" w:hAnsi="TitilliumText22L Light" w:cs="Arial"/>
          <w:color w:val="000000"/>
          <w:sz w:val="22"/>
          <w:szCs w:val="22"/>
          <w:lang w:val="en-US"/>
        </w:rPr>
        <w:t xml:space="preserve">status of this research is </w:t>
      </w:r>
      <w:r w:rsidR="00733D49" w:rsidRPr="00CA7FAF">
        <w:rPr>
          <w:rFonts w:ascii="TitilliumText22L Light" w:hAnsi="TitilliumText22L Light" w:cs="Arial"/>
          <w:color w:val="000000"/>
          <w:sz w:val="22"/>
          <w:szCs w:val="22"/>
          <w:lang w:val="en-US"/>
        </w:rPr>
        <w:t xml:space="preserve">still </w:t>
      </w:r>
      <w:r w:rsidR="00BB5A33" w:rsidRPr="00CA7FAF">
        <w:rPr>
          <w:rFonts w:ascii="TitilliumText22L Light" w:hAnsi="TitilliumText22L Light" w:cs="Arial"/>
          <w:color w:val="000000"/>
          <w:sz w:val="22"/>
          <w:szCs w:val="22"/>
          <w:lang w:val="en-US"/>
        </w:rPr>
        <w:t xml:space="preserve">at </w:t>
      </w:r>
      <w:r w:rsidR="00733D49" w:rsidRPr="00CA7FAF">
        <w:rPr>
          <w:rFonts w:ascii="TitilliumText22L Light" w:hAnsi="TitilliumText22L Light" w:cs="Arial"/>
          <w:color w:val="000000"/>
          <w:sz w:val="22"/>
          <w:szCs w:val="22"/>
          <w:lang w:val="en-US"/>
        </w:rPr>
        <w:t xml:space="preserve">very </w:t>
      </w:r>
      <w:r w:rsidR="00BB5A33" w:rsidRPr="00CA7FAF">
        <w:rPr>
          <w:rFonts w:ascii="TitilliumText22L Light" w:hAnsi="TitilliumText22L Light" w:cs="Arial"/>
          <w:color w:val="000000"/>
          <w:sz w:val="22"/>
          <w:szCs w:val="22"/>
          <w:lang w:val="en-US"/>
        </w:rPr>
        <w:t>early stage, an</w:t>
      </w:r>
      <w:r w:rsidR="00733D49" w:rsidRPr="00CA7FAF">
        <w:rPr>
          <w:rFonts w:ascii="TitilliumText22L Light" w:hAnsi="TitilliumText22L Light" w:cs="Arial"/>
          <w:color w:val="000000"/>
          <w:sz w:val="22"/>
          <w:szCs w:val="22"/>
          <w:lang w:val="en-US"/>
        </w:rPr>
        <w:t>d</w:t>
      </w:r>
      <w:r w:rsidR="00BB5A33" w:rsidRPr="00CA7FAF">
        <w:rPr>
          <w:rFonts w:ascii="TitilliumText22L Light" w:hAnsi="TitilliumText22L Light" w:cs="Arial"/>
          <w:color w:val="000000"/>
          <w:sz w:val="22"/>
          <w:szCs w:val="22"/>
          <w:lang w:val="en-US"/>
        </w:rPr>
        <w:t xml:space="preserve"> no sufficiently reliable results have been </w:t>
      </w:r>
      <w:r w:rsidR="00744E12" w:rsidRPr="00CA7FAF">
        <w:rPr>
          <w:rFonts w:ascii="TitilliumText22L Light" w:hAnsi="TitilliumText22L Light" w:cs="Arial"/>
          <w:color w:val="000000"/>
          <w:sz w:val="22"/>
          <w:szCs w:val="22"/>
          <w:lang w:val="en-US"/>
        </w:rPr>
        <w:t xml:space="preserve">yet </w:t>
      </w:r>
      <w:r w:rsidR="00BB5A33" w:rsidRPr="00CA7FAF">
        <w:rPr>
          <w:rFonts w:ascii="TitilliumText22L Light" w:hAnsi="TitilliumText22L Light" w:cs="Arial"/>
          <w:color w:val="000000"/>
          <w:sz w:val="22"/>
          <w:szCs w:val="22"/>
          <w:lang w:val="en-US"/>
        </w:rPr>
        <w:t xml:space="preserve">obtained </w:t>
      </w:r>
      <w:r w:rsidR="00733D49" w:rsidRPr="00CA7FAF">
        <w:rPr>
          <w:rFonts w:ascii="TitilliumText22L Light" w:hAnsi="TitilliumText22L Light" w:cs="Arial"/>
          <w:color w:val="000000"/>
          <w:sz w:val="22"/>
          <w:szCs w:val="22"/>
          <w:lang w:val="en-US"/>
        </w:rPr>
        <w:t xml:space="preserve">for consideration </w:t>
      </w:r>
      <w:r w:rsidR="003D03F7" w:rsidRPr="00CA7FAF">
        <w:rPr>
          <w:rFonts w:ascii="TitilliumText22L Light" w:hAnsi="TitilliumText22L Light" w:cs="Arial"/>
          <w:color w:val="000000"/>
          <w:sz w:val="22"/>
          <w:szCs w:val="22"/>
          <w:lang w:val="en-US"/>
        </w:rPr>
        <w:t>in</w:t>
      </w:r>
      <w:r w:rsidR="00BB5A33" w:rsidRPr="00CA7FAF">
        <w:rPr>
          <w:rFonts w:ascii="TitilliumText22L Light" w:hAnsi="TitilliumText22L Light" w:cs="Arial"/>
          <w:color w:val="000000"/>
          <w:sz w:val="22"/>
          <w:szCs w:val="22"/>
          <w:lang w:val="en-US"/>
        </w:rPr>
        <w:t xml:space="preserve">to the </w:t>
      </w:r>
      <w:r w:rsidR="003107D4" w:rsidRPr="00CA7FAF">
        <w:rPr>
          <w:rFonts w:ascii="TitilliumText22L Light" w:hAnsi="TitilliumText22L Light" w:cs="Arial"/>
          <w:color w:val="000000"/>
          <w:sz w:val="22"/>
          <w:szCs w:val="22"/>
          <w:lang w:val="en-US"/>
        </w:rPr>
        <w:t>present hazard model for SSA.</w:t>
      </w:r>
    </w:p>
    <w:p w14:paraId="2F2B01EC" w14:textId="684CE5D0" w:rsidR="006E6286" w:rsidRPr="0099690B" w:rsidRDefault="00085C45" w:rsidP="00CA7FAF">
      <w:pPr>
        <w:spacing w:after="200" w:line="276" w:lineRule="auto"/>
        <w:jc w:val="both"/>
        <w:rPr>
          <w:rFonts w:ascii="TitilliumText22L Light" w:hAnsi="TitilliumText22L Light" w:cs="Times New Roman"/>
          <w:b/>
          <w:sz w:val="28"/>
          <w:szCs w:val="28"/>
          <w:lang w:val="en-US"/>
        </w:rPr>
      </w:pPr>
      <w:r w:rsidRPr="0099690B">
        <w:rPr>
          <w:rFonts w:ascii="TitilliumText22L Light" w:hAnsi="TitilliumText22L Light" w:cs="Arial"/>
          <w:b/>
          <w:color w:val="000000"/>
          <w:sz w:val="28"/>
          <w:szCs w:val="28"/>
          <w:lang w:val="en-US"/>
        </w:rPr>
        <w:t>Challenges and limitations faced</w:t>
      </w:r>
    </w:p>
    <w:p w14:paraId="041B67FD" w14:textId="4147591A" w:rsidR="00522B55" w:rsidRPr="00CA7FAF" w:rsidRDefault="00522B55" w:rsidP="00CA7FAF">
      <w:pPr>
        <w:spacing w:after="200" w:line="276" w:lineRule="auto"/>
        <w:jc w:val="both"/>
        <w:rPr>
          <w:rFonts w:ascii="TitilliumText22L Light" w:hAnsi="TitilliumText22L Light" w:cs="Arial"/>
          <w:color w:val="000000"/>
          <w:sz w:val="22"/>
          <w:szCs w:val="22"/>
          <w:lang w:val="en-US"/>
        </w:rPr>
      </w:pPr>
      <w:r w:rsidRPr="00CA7FAF">
        <w:rPr>
          <w:rFonts w:ascii="TitilliumText22L Light" w:hAnsi="TitilliumText22L Light" w:cs="Arial"/>
          <w:color w:val="000000"/>
          <w:sz w:val="22"/>
          <w:szCs w:val="22"/>
          <w:lang w:val="en-US"/>
        </w:rPr>
        <w:t xml:space="preserve">A major limitation affecting the assessment of seismic hazard in Sub-Saharan Africa is the lack of basic information needed to construct source and ground motion models. The historical earthquake record is sparse, with significant variation in completeness over time across different regions. The instrumental catalogue is complete down to sufficient magnitude only for a relatively short time span. In addition, mapping of </w:t>
      </w:r>
      <w:proofErr w:type="spellStart"/>
      <w:r w:rsidRPr="00CA7FAF">
        <w:rPr>
          <w:rFonts w:ascii="TitilliumText22L Light" w:hAnsi="TitilliumText22L Light" w:cs="Arial"/>
          <w:color w:val="000000"/>
          <w:sz w:val="22"/>
          <w:szCs w:val="22"/>
          <w:lang w:val="en-US"/>
        </w:rPr>
        <w:t>sei</w:t>
      </w:r>
      <w:r w:rsidR="00C84D67">
        <w:rPr>
          <w:rFonts w:ascii="TitilliumText22L Light" w:hAnsi="TitilliumText22L Light" w:cs="Arial"/>
          <w:color w:val="000000"/>
          <w:sz w:val="22"/>
          <w:szCs w:val="22"/>
          <w:lang w:val="en-US"/>
        </w:rPr>
        <w:t>s</w:t>
      </w:r>
      <w:r w:rsidRPr="00CA7FAF">
        <w:rPr>
          <w:rFonts w:ascii="TitilliumText22L Light" w:hAnsi="TitilliumText22L Light" w:cs="Arial"/>
          <w:color w:val="000000"/>
          <w:sz w:val="22"/>
          <w:szCs w:val="22"/>
          <w:lang w:val="en-US"/>
        </w:rPr>
        <w:t>mogenically</w:t>
      </w:r>
      <w:proofErr w:type="spellEnd"/>
      <w:r w:rsidRPr="00CA7FAF">
        <w:rPr>
          <w:rFonts w:ascii="TitilliumText22L Light" w:hAnsi="TitilliumText22L Light" w:cs="Arial"/>
          <w:color w:val="000000"/>
          <w:sz w:val="22"/>
          <w:szCs w:val="22"/>
          <w:lang w:val="en-US"/>
        </w:rPr>
        <w:t xml:space="preserve"> active faults is still an on-going task, and few faults in the region are sufficiently constrained as to allow them to be directly </w:t>
      </w:r>
      <w:r w:rsidR="008969A3" w:rsidRPr="00CA7FAF">
        <w:rPr>
          <w:rFonts w:ascii="TitilliumText22L Light" w:hAnsi="TitilliumText22L Light" w:cs="Arial"/>
          <w:color w:val="000000"/>
          <w:sz w:val="22"/>
          <w:szCs w:val="22"/>
          <w:lang w:val="en-US"/>
        </w:rPr>
        <w:t>included to</w:t>
      </w:r>
      <w:r w:rsidRPr="00CA7FAF">
        <w:rPr>
          <w:rFonts w:ascii="TitilliumText22L Light" w:hAnsi="TitilliumText22L Light" w:cs="Arial"/>
          <w:color w:val="000000"/>
          <w:sz w:val="22"/>
          <w:szCs w:val="22"/>
          <w:lang w:val="en-US"/>
        </w:rPr>
        <w:t xml:space="preserve"> the seismic hazard model. Recent studies have identified major seismogenic lineaments, but there is </w:t>
      </w:r>
      <w:r w:rsidR="00C84D67">
        <w:rPr>
          <w:rFonts w:ascii="TitilliumText22L Light" w:hAnsi="TitilliumText22L Light" w:cs="Arial"/>
          <w:color w:val="000000"/>
          <w:sz w:val="22"/>
          <w:szCs w:val="22"/>
          <w:lang w:val="en-US"/>
        </w:rPr>
        <w:t xml:space="preserve">still a </w:t>
      </w:r>
      <w:r w:rsidRPr="00CA7FAF">
        <w:rPr>
          <w:rFonts w:ascii="TitilliumText22L Light" w:hAnsi="TitilliumText22L Light" w:cs="Arial"/>
          <w:color w:val="000000"/>
          <w:sz w:val="22"/>
          <w:szCs w:val="22"/>
          <w:lang w:val="en-US"/>
        </w:rPr>
        <w:t>substantial lack of kinematic information for intermediate-to-small scale tectonic features, information that is essential for the proper calibration of earthquake recurrence models.</w:t>
      </w:r>
    </w:p>
    <w:p w14:paraId="2999D0DD" w14:textId="1E3EBCF0" w:rsidR="006E6286" w:rsidRPr="00CA7FAF" w:rsidRDefault="00E83B4B" w:rsidP="00CA7FAF">
      <w:pPr>
        <w:spacing w:after="200" w:line="276" w:lineRule="auto"/>
        <w:jc w:val="both"/>
        <w:rPr>
          <w:rFonts w:ascii="TitilliumText22L Light" w:eastAsia="Times New Roman" w:hAnsi="TitilliumText22L Light" w:cs="Arial"/>
          <w:color w:val="000000"/>
          <w:sz w:val="22"/>
          <w:szCs w:val="22"/>
          <w:lang w:val="en-US"/>
        </w:rPr>
      </w:pPr>
      <w:r w:rsidRPr="00CA7FAF">
        <w:rPr>
          <w:rFonts w:ascii="TitilliumText22L Light" w:eastAsia="Times New Roman" w:hAnsi="TitilliumText22L Light" w:cs="Arial"/>
          <w:color w:val="000000"/>
          <w:sz w:val="22"/>
          <w:szCs w:val="22"/>
          <w:lang w:val="en-US"/>
        </w:rPr>
        <w:t>Regarding the earthquake record, an</w:t>
      </w:r>
      <w:r w:rsidR="006E6286" w:rsidRPr="00CA7FAF">
        <w:rPr>
          <w:rFonts w:ascii="TitilliumText22L Light" w:eastAsia="Times New Roman" w:hAnsi="TitilliumText22L Light" w:cs="Arial"/>
          <w:color w:val="000000"/>
          <w:sz w:val="22"/>
          <w:szCs w:val="22"/>
          <w:lang w:val="en-US"/>
        </w:rPr>
        <w:t xml:space="preserve"> important contribution was provided by the partner </w:t>
      </w:r>
      <w:proofErr w:type="spellStart"/>
      <w:r w:rsidR="006E6286" w:rsidRPr="00CA7FAF">
        <w:rPr>
          <w:rFonts w:ascii="TitilliumText22L Light" w:eastAsia="Times New Roman" w:hAnsi="TitilliumText22L Light" w:cs="Arial"/>
          <w:color w:val="000000"/>
          <w:sz w:val="22"/>
          <w:szCs w:val="22"/>
          <w:lang w:val="en-US"/>
        </w:rPr>
        <w:t>AfricaArray</w:t>
      </w:r>
      <w:proofErr w:type="spellEnd"/>
      <w:r w:rsidR="006E6286" w:rsidRPr="00CA7FAF">
        <w:rPr>
          <w:rFonts w:ascii="TitilliumText22L Light" w:eastAsia="Times New Roman" w:hAnsi="TitilliumText22L Light" w:cs="Arial"/>
          <w:color w:val="000000"/>
          <w:sz w:val="22"/>
          <w:szCs w:val="22"/>
          <w:lang w:val="en-US"/>
        </w:rPr>
        <w:t xml:space="preserve"> project, which integrated the globally available information </w:t>
      </w:r>
      <w:r w:rsidRPr="00CA7FAF">
        <w:rPr>
          <w:rFonts w:ascii="TitilliumText22L Light" w:eastAsia="Times New Roman" w:hAnsi="TitilliumText22L Light" w:cs="Arial"/>
          <w:color w:val="000000"/>
          <w:sz w:val="22"/>
          <w:szCs w:val="22"/>
          <w:lang w:val="en-US"/>
        </w:rPr>
        <w:t xml:space="preserve">(e.g. ISC-Reviewed, ISC-GEM, GCMT) </w:t>
      </w:r>
      <w:r w:rsidR="006E6286" w:rsidRPr="00CA7FAF">
        <w:rPr>
          <w:rFonts w:ascii="TitilliumText22L Light" w:eastAsia="Times New Roman" w:hAnsi="TitilliumText22L Light" w:cs="Arial"/>
          <w:color w:val="000000"/>
          <w:sz w:val="22"/>
          <w:szCs w:val="22"/>
          <w:lang w:val="en-US"/>
        </w:rPr>
        <w:t>with three low-magnitude local catalogues</w:t>
      </w:r>
      <w:r w:rsidR="001562D9" w:rsidRPr="00CA7FAF">
        <w:rPr>
          <w:rFonts w:ascii="TitilliumText22L Light" w:eastAsia="Times New Roman" w:hAnsi="TitilliumText22L Light" w:cs="Arial"/>
          <w:color w:val="000000"/>
          <w:sz w:val="22"/>
          <w:szCs w:val="22"/>
          <w:lang w:val="en-US"/>
        </w:rPr>
        <w:t xml:space="preserve"> (Tanzanian Broadband Seismic Experiment; the Ethiopian Plateau Catalogue; the </w:t>
      </w:r>
      <w:proofErr w:type="spellStart"/>
      <w:r w:rsidR="001562D9" w:rsidRPr="00CA7FAF">
        <w:rPr>
          <w:rFonts w:ascii="TitilliumText22L Light" w:eastAsia="Times New Roman" w:hAnsi="TitilliumText22L Light" w:cs="Arial"/>
          <w:color w:val="000000"/>
          <w:sz w:val="22"/>
          <w:szCs w:val="22"/>
          <w:lang w:val="en-US"/>
        </w:rPr>
        <w:t>AfricaArray</w:t>
      </w:r>
      <w:proofErr w:type="spellEnd"/>
      <w:r w:rsidR="001562D9" w:rsidRPr="00CA7FAF">
        <w:rPr>
          <w:rFonts w:ascii="TitilliumText22L Light" w:eastAsia="Times New Roman" w:hAnsi="TitilliumText22L Light" w:cs="Arial"/>
          <w:color w:val="000000"/>
          <w:sz w:val="22"/>
          <w:szCs w:val="22"/>
          <w:lang w:val="en-US"/>
        </w:rPr>
        <w:t xml:space="preserve"> Eastern Africa Seismic experiment)</w:t>
      </w:r>
      <w:r w:rsidR="006E6286" w:rsidRPr="00CA7FAF">
        <w:rPr>
          <w:rFonts w:ascii="TitilliumText22L Light" w:eastAsia="Times New Roman" w:hAnsi="TitilliumText22L Light" w:cs="Arial"/>
          <w:color w:val="000000"/>
          <w:sz w:val="22"/>
          <w:szCs w:val="22"/>
          <w:lang w:val="en-US"/>
        </w:rPr>
        <w:t xml:space="preserve">, </w:t>
      </w:r>
      <w:r w:rsidR="00C84D67">
        <w:rPr>
          <w:rFonts w:ascii="TitilliumText22L Light" w:eastAsia="Times New Roman" w:hAnsi="TitilliumText22L Light" w:cs="Arial"/>
          <w:color w:val="000000"/>
          <w:sz w:val="22"/>
          <w:szCs w:val="22"/>
          <w:lang w:val="en-US"/>
        </w:rPr>
        <w:t>collected during several</w:t>
      </w:r>
      <w:r w:rsidR="006E6286" w:rsidRPr="00CA7FAF">
        <w:rPr>
          <w:rFonts w:ascii="TitilliumText22L Light" w:eastAsia="Times New Roman" w:hAnsi="TitilliumText22L Light" w:cs="Arial"/>
          <w:color w:val="000000"/>
          <w:sz w:val="22"/>
          <w:szCs w:val="22"/>
          <w:lang w:val="en-US"/>
        </w:rPr>
        <w:t xml:space="preserve"> regional earthquake monitoring performed with temporary and permanent seismic network installations.</w:t>
      </w:r>
      <w:r w:rsidR="0000448A" w:rsidRPr="00CA7FAF">
        <w:rPr>
          <w:rFonts w:ascii="TitilliumText22L Light" w:eastAsia="Times New Roman" w:hAnsi="TitilliumText22L Light" w:cs="Arial"/>
          <w:color w:val="000000"/>
          <w:sz w:val="22"/>
          <w:szCs w:val="22"/>
          <w:lang w:val="en-US"/>
        </w:rPr>
        <w:t xml:space="preserve"> Although these catalogues extend the record to very low magnitudes, their primary application within the present hazard study was for the local definition of seismicity distribution patterns in order to elucidate potentially seismogenic structures within the rift syst</w:t>
      </w:r>
      <w:r w:rsidR="00B532E2" w:rsidRPr="00CA7FAF">
        <w:rPr>
          <w:rFonts w:ascii="TitilliumText22L Light" w:eastAsia="Times New Roman" w:hAnsi="TitilliumText22L Light" w:cs="Arial"/>
          <w:color w:val="000000"/>
          <w:sz w:val="22"/>
          <w:szCs w:val="22"/>
          <w:lang w:val="en-US"/>
        </w:rPr>
        <w:t>em and the surrounding regions.</w:t>
      </w:r>
    </w:p>
    <w:p w14:paraId="64886A08" w14:textId="373827BD" w:rsidR="000F00C9" w:rsidRPr="00CA7FAF" w:rsidRDefault="009F47D6" w:rsidP="00CA7FAF">
      <w:pPr>
        <w:spacing w:after="200" w:line="276" w:lineRule="auto"/>
        <w:jc w:val="both"/>
        <w:rPr>
          <w:rFonts w:ascii="TitilliumText22L Light" w:eastAsia="Times New Roman" w:hAnsi="TitilliumText22L Light" w:cs="Arial"/>
          <w:color w:val="000000"/>
          <w:sz w:val="22"/>
          <w:szCs w:val="22"/>
          <w:lang w:val="en-US"/>
        </w:rPr>
      </w:pPr>
      <w:r w:rsidRPr="00CA7FAF">
        <w:rPr>
          <w:rFonts w:ascii="TitilliumText22L Light" w:eastAsia="Times New Roman" w:hAnsi="TitilliumText22L Light" w:cs="Arial"/>
          <w:color w:val="000000"/>
          <w:sz w:val="22"/>
          <w:szCs w:val="22"/>
          <w:lang w:val="en-US"/>
        </w:rPr>
        <w:t>By analyzing the completeness periods of the SSA-GEM catalogue, it is</w:t>
      </w:r>
      <w:r w:rsidR="00464D8A" w:rsidRPr="00CA7FAF">
        <w:rPr>
          <w:rFonts w:ascii="TitilliumText22L Light" w:eastAsia="Times New Roman" w:hAnsi="TitilliumText22L Light" w:cs="Arial"/>
          <w:color w:val="000000"/>
          <w:sz w:val="22"/>
          <w:szCs w:val="22"/>
          <w:lang w:val="en-US"/>
        </w:rPr>
        <w:t xml:space="preserve"> nonetheless clear that </w:t>
      </w:r>
      <w:r w:rsidRPr="00CA7FAF">
        <w:rPr>
          <w:rFonts w:ascii="TitilliumText22L Light" w:eastAsia="Times New Roman" w:hAnsi="TitilliumText22L Light" w:cs="Arial"/>
          <w:color w:val="000000"/>
          <w:sz w:val="22"/>
          <w:szCs w:val="22"/>
          <w:lang w:val="en-US"/>
        </w:rPr>
        <w:t>additional information</w:t>
      </w:r>
      <w:r w:rsidR="00464D8A" w:rsidRPr="00CA7FAF">
        <w:rPr>
          <w:rFonts w:ascii="TitilliumText22L Light" w:eastAsia="Times New Roman" w:hAnsi="TitilliumText22L Light" w:cs="Arial"/>
          <w:color w:val="000000"/>
          <w:sz w:val="22"/>
          <w:szCs w:val="22"/>
          <w:lang w:val="en-US"/>
        </w:rPr>
        <w:t xml:space="preserve"> is needed</w:t>
      </w:r>
      <w:r w:rsidRPr="00CA7FAF">
        <w:rPr>
          <w:rFonts w:ascii="TitilliumText22L Light" w:eastAsia="Times New Roman" w:hAnsi="TitilliumText22L Light" w:cs="Arial"/>
          <w:color w:val="000000"/>
          <w:sz w:val="22"/>
          <w:szCs w:val="22"/>
          <w:lang w:val="en-US"/>
        </w:rPr>
        <w:t xml:space="preserve"> to fill significant gaps</w:t>
      </w:r>
      <w:r w:rsidR="00464D8A" w:rsidRPr="00CA7FAF">
        <w:rPr>
          <w:rFonts w:ascii="TitilliumText22L Light" w:eastAsia="Times New Roman" w:hAnsi="TitilliumText22L Light" w:cs="Arial"/>
          <w:color w:val="000000"/>
          <w:sz w:val="22"/>
          <w:szCs w:val="22"/>
          <w:lang w:val="en-US"/>
        </w:rPr>
        <w:t xml:space="preserve"> in the</w:t>
      </w:r>
      <w:r w:rsidRPr="00CA7FAF">
        <w:rPr>
          <w:rFonts w:ascii="TitilliumText22L Light" w:eastAsia="Times New Roman" w:hAnsi="TitilliumText22L Light" w:cs="Arial"/>
          <w:color w:val="000000"/>
          <w:sz w:val="22"/>
          <w:szCs w:val="22"/>
          <w:lang w:val="en-US"/>
        </w:rPr>
        <w:t xml:space="preserve"> earthquake record. This issue is particularly evident for the large-magnitude events, whose record might be significantly improved with the complement of new historical </w:t>
      </w:r>
      <w:r w:rsidR="006F183A" w:rsidRPr="00CA7FAF">
        <w:rPr>
          <w:rFonts w:ascii="TitilliumText22L Light" w:eastAsia="Times New Roman" w:hAnsi="TitilliumText22L Light" w:cs="Arial"/>
          <w:color w:val="000000"/>
          <w:sz w:val="22"/>
          <w:szCs w:val="22"/>
          <w:lang w:val="en-US"/>
        </w:rPr>
        <w:t xml:space="preserve">and </w:t>
      </w:r>
      <w:proofErr w:type="spellStart"/>
      <w:r w:rsidR="00744192" w:rsidRPr="00CA7FAF">
        <w:rPr>
          <w:rFonts w:ascii="TitilliumText22L Light" w:eastAsia="Times New Roman" w:hAnsi="TitilliumText22L Light" w:cs="Arial"/>
          <w:color w:val="000000"/>
          <w:sz w:val="22"/>
          <w:szCs w:val="22"/>
          <w:lang w:val="en-US"/>
        </w:rPr>
        <w:t>macroseismic</w:t>
      </w:r>
      <w:proofErr w:type="spellEnd"/>
      <w:r w:rsidR="00744192" w:rsidRPr="00CA7FAF">
        <w:rPr>
          <w:rFonts w:ascii="TitilliumText22L Light" w:eastAsia="Times New Roman" w:hAnsi="TitilliumText22L Light" w:cs="Arial"/>
          <w:color w:val="000000"/>
          <w:sz w:val="22"/>
          <w:szCs w:val="22"/>
          <w:lang w:val="en-US"/>
        </w:rPr>
        <w:t xml:space="preserve"> studies</w:t>
      </w:r>
      <w:r w:rsidR="00A82379" w:rsidRPr="00CA7FAF">
        <w:rPr>
          <w:rFonts w:ascii="TitilliumText22L Light" w:eastAsia="Times New Roman" w:hAnsi="TitilliumText22L Light" w:cs="Arial"/>
          <w:color w:val="000000"/>
          <w:sz w:val="22"/>
          <w:szCs w:val="22"/>
          <w:lang w:val="en-US"/>
        </w:rPr>
        <w:t>, as well as</w:t>
      </w:r>
      <w:r w:rsidRPr="00CA7FAF">
        <w:rPr>
          <w:rFonts w:ascii="TitilliumText22L Light" w:eastAsia="Times New Roman" w:hAnsi="TitilliumText22L Light" w:cs="Arial"/>
          <w:color w:val="000000"/>
          <w:sz w:val="22"/>
          <w:szCs w:val="22"/>
          <w:lang w:val="en-US"/>
        </w:rPr>
        <w:t xml:space="preserve"> by </w:t>
      </w:r>
      <w:r w:rsidR="00871A89" w:rsidRPr="00CA7FAF">
        <w:rPr>
          <w:rFonts w:ascii="TitilliumText22L Light" w:eastAsia="Times New Roman" w:hAnsi="TitilliumText22L Light" w:cs="Arial"/>
          <w:color w:val="000000"/>
          <w:sz w:val="22"/>
          <w:szCs w:val="22"/>
          <w:lang w:val="en-US"/>
        </w:rPr>
        <w:t xml:space="preserve">progressive </w:t>
      </w:r>
      <w:r w:rsidRPr="00CA7FAF">
        <w:rPr>
          <w:rFonts w:ascii="TitilliumText22L Light" w:eastAsia="Times New Roman" w:hAnsi="TitilliumText22L Light" w:cs="Arial"/>
          <w:color w:val="000000"/>
          <w:sz w:val="22"/>
          <w:szCs w:val="22"/>
          <w:lang w:val="en-US"/>
        </w:rPr>
        <w:t xml:space="preserve">integration of </w:t>
      </w:r>
      <w:proofErr w:type="spellStart"/>
      <w:r w:rsidRPr="00CA7FAF">
        <w:rPr>
          <w:rFonts w:ascii="TitilliumText22L Light" w:eastAsia="Times New Roman" w:hAnsi="TitilliumText22L Light" w:cs="Arial"/>
          <w:color w:val="000000"/>
          <w:sz w:val="22"/>
          <w:szCs w:val="22"/>
          <w:lang w:val="en-US"/>
        </w:rPr>
        <w:t>paleoseismic</w:t>
      </w:r>
      <w:proofErr w:type="spellEnd"/>
      <w:r w:rsidRPr="00CA7FAF">
        <w:rPr>
          <w:rFonts w:ascii="TitilliumText22L Light" w:eastAsia="Times New Roman" w:hAnsi="TitilliumText22L Light" w:cs="Arial"/>
          <w:color w:val="000000"/>
          <w:sz w:val="22"/>
          <w:szCs w:val="22"/>
          <w:lang w:val="en-US"/>
        </w:rPr>
        <w:t xml:space="preserve"> </w:t>
      </w:r>
      <w:r w:rsidR="009A5FCB" w:rsidRPr="00CA7FAF">
        <w:rPr>
          <w:rFonts w:ascii="TitilliumText22L Light" w:eastAsia="Times New Roman" w:hAnsi="TitilliumText22L Light" w:cs="Arial"/>
          <w:color w:val="000000"/>
          <w:sz w:val="22"/>
          <w:szCs w:val="22"/>
          <w:lang w:val="en-US"/>
        </w:rPr>
        <w:t xml:space="preserve">and geodetic </w:t>
      </w:r>
      <w:r w:rsidRPr="00CA7FAF">
        <w:rPr>
          <w:rFonts w:ascii="TitilliumText22L Light" w:eastAsia="Times New Roman" w:hAnsi="TitilliumText22L Light" w:cs="Arial"/>
          <w:color w:val="000000"/>
          <w:sz w:val="22"/>
          <w:szCs w:val="22"/>
          <w:lang w:val="en-US"/>
        </w:rPr>
        <w:t>information.</w:t>
      </w:r>
      <w:r w:rsidR="006F183A" w:rsidRPr="00CA7FAF">
        <w:rPr>
          <w:rFonts w:ascii="TitilliumText22L Light" w:eastAsia="Times New Roman" w:hAnsi="TitilliumText22L Light" w:cs="Arial"/>
          <w:color w:val="000000"/>
          <w:sz w:val="22"/>
          <w:szCs w:val="22"/>
          <w:lang w:val="en-US"/>
        </w:rPr>
        <w:t xml:space="preserve"> These</w:t>
      </w:r>
      <w:r w:rsidR="00464D8A" w:rsidRPr="00CA7FAF">
        <w:rPr>
          <w:rFonts w:ascii="TitilliumText22L Light" w:eastAsia="Times New Roman" w:hAnsi="TitilliumText22L Light" w:cs="Arial"/>
          <w:color w:val="000000"/>
          <w:sz w:val="22"/>
          <w:szCs w:val="22"/>
          <w:lang w:val="en-US"/>
        </w:rPr>
        <w:t xml:space="preserve"> will strength</w:t>
      </w:r>
      <w:r w:rsidR="000753D9" w:rsidRPr="00CA7FAF">
        <w:rPr>
          <w:rFonts w:ascii="TitilliumText22L Light" w:eastAsia="Times New Roman" w:hAnsi="TitilliumText22L Light" w:cs="Arial"/>
          <w:color w:val="000000"/>
          <w:sz w:val="22"/>
          <w:szCs w:val="22"/>
          <w:lang w:val="en-US"/>
        </w:rPr>
        <w:t>en</w:t>
      </w:r>
      <w:r w:rsidR="00464D8A" w:rsidRPr="00CA7FAF">
        <w:rPr>
          <w:rFonts w:ascii="TitilliumText22L Light" w:eastAsia="Times New Roman" w:hAnsi="TitilliumText22L Light" w:cs="Arial"/>
          <w:color w:val="000000"/>
          <w:sz w:val="22"/>
          <w:szCs w:val="22"/>
          <w:lang w:val="en-US"/>
        </w:rPr>
        <w:t xml:space="preserve"> the </w:t>
      </w:r>
      <w:r w:rsidR="000753D9" w:rsidRPr="00CA7FAF">
        <w:rPr>
          <w:rFonts w:ascii="TitilliumText22L Light" w:eastAsia="Times New Roman" w:hAnsi="TitilliumText22L Light" w:cs="Arial"/>
          <w:color w:val="000000"/>
          <w:sz w:val="22"/>
          <w:szCs w:val="22"/>
          <w:lang w:val="en-US"/>
        </w:rPr>
        <w:t>reliability</w:t>
      </w:r>
      <w:r w:rsidR="00464D8A" w:rsidRPr="00CA7FAF">
        <w:rPr>
          <w:rFonts w:ascii="TitilliumText22L Light" w:eastAsia="Times New Roman" w:hAnsi="TitilliumText22L Light" w:cs="Arial"/>
          <w:color w:val="000000"/>
          <w:sz w:val="22"/>
          <w:szCs w:val="22"/>
          <w:lang w:val="en-US"/>
        </w:rPr>
        <w:t xml:space="preserve"> of </w:t>
      </w:r>
      <w:r w:rsidR="000753D9" w:rsidRPr="00CA7FAF">
        <w:rPr>
          <w:rFonts w:ascii="TitilliumText22L Light" w:eastAsia="Times New Roman" w:hAnsi="TitilliumText22L Light" w:cs="Arial"/>
          <w:color w:val="000000"/>
          <w:sz w:val="22"/>
          <w:szCs w:val="22"/>
          <w:lang w:val="en-US"/>
        </w:rPr>
        <w:t>the very-low rates for</w:t>
      </w:r>
      <w:r w:rsidR="006F183A" w:rsidRPr="00CA7FAF">
        <w:rPr>
          <w:rFonts w:ascii="TitilliumText22L Light" w:eastAsia="Times New Roman" w:hAnsi="TitilliumText22L Light" w:cs="Arial"/>
          <w:color w:val="000000"/>
          <w:sz w:val="22"/>
          <w:szCs w:val="22"/>
          <w:lang w:val="en-US"/>
        </w:rPr>
        <w:t xml:space="preserve"> the large events, which are significant for the estimation </w:t>
      </w:r>
      <w:r w:rsidR="00F12452" w:rsidRPr="00CA7FAF">
        <w:rPr>
          <w:rFonts w:ascii="TitilliumText22L Light" w:eastAsia="Times New Roman" w:hAnsi="TitilliumText22L Light" w:cs="Arial"/>
          <w:color w:val="000000"/>
          <w:sz w:val="22"/>
          <w:szCs w:val="22"/>
          <w:lang w:val="en-US"/>
        </w:rPr>
        <w:t>of long return period seismic hazard</w:t>
      </w:r>
      <w:r w:rsidR="006F183A" w:rsidRPr="00CA7FAF">
        <w:rPr>
          <w:rFonts w:ascii="TitilliumText22L Light" w:eastAsia="Times New Roman" w:hAnsi="TitilliumText22L Light" w:cs="Arial"/>
          <w:color w:val="000000"/>
          <w:sz w:val="22"/>
          <w:szCs w:val="22"/>
          <w:lang w:val="en-US"/>
        </w:rPr>
        <w:t>.</w:t>
      </w:r>
    </w:p>
    <w:p w14:paraId="002FB6B7" w14:textId="099C23BE" w:rsidR="00180A1D" w:rsidRPr="00CA7FAF" w:rsidRDefault="006811EC" w:rsidP="00CA7FAF">
      <w:pPr>
        <w:spacing w:after="200" w:line="276" w:lineRule="auto"/>
        <w:jc w:val="both"/>
        <w:rPr>
          <w:rFonts w:ascii="TitilliumText22L Light" w:eastAsia="Times New Roman" w:hAnsi="TitilliumText22L Light" w:cs="Arial"/>
          <w:color w:val="000000"/>
          <w:sz w:val="22"/>
          <w:szCs w:val="22"/>
          <w:lang w:val="en-US"/>
        </w:rPr>
      </w:pPr>
      <w:r w:rsidRPr="00CA7FAF">
        <w:rPr>
          <w:rFonts w:ascii="TitilliumText22L Light" w:eastAsia="Times New Roman" w:hAnsi="TitilliumText22L Light" w:cs="Arial"/>
          <w:color w:val="000000"/>
          <w:sz w:val="22"/>
          <w:szCs w:val="22"/>
          <w:lang w:val="en-US"/>
        </w:rPr>
        <w:t xml:space="preserve">The major issue affecting the presented model is definitely the shortage of strong-motion recordings within a sufficient distance to be used for selection and validation of existing ground motion prediction models. In this study, decision on suitable GMPEs is done </w:t>
      </w:r>
      <w:r w:rsidR="00E876A0">
        <w:rPr>
          <w:rFonts w:ascii="TitilliumText22L Light" w:eastAsia="Times New Roman" w:hAnsi="TitilliumText22L Light" w:cs="Arial"/>
          <w:color w:val="000000"/>
          <w:sz w:val="22"/>
          <w:szCs w:val="22"/>
          <w:lang w:val="en-US"/>
        </w:rPr>
        <w:t>using information on</w:t>
      </w:r>
      <w:r w:rsidRPr="00CA7FAF">
        <w:rPr>
          <w:rFonts w:ascii="TitilliumText22L Light" w:eastAsia="Times New Roman" w:hAnsi="TitilliumText22L Light" w:cs="Arial"/>
          <w:color w:val="000000"/>
          <w:sz w:val="22"/>
          <w:szCs w:val="22"/>
          <w:lang w:val="en-US"/>
        </w:rPr>
        <w:t xml:space="preserve"> the crustal structure of the EARS, relying on a set of assumptions from </w:t>
      </w:r>
      <w:proofErr w:type="spellStart"/>
      <w:r w:rsidRPr="00CA7FAF">
        <w:rPr>
          <w:rFonts w:ascii="TitilliumText22L Light" w:eastAsia="Times New Roman" w:hAnsi="TitilliumText22L Light" w:cs="Arial"/>
          <w:color w:val="000000"/>
          <w:sz w:val="22"/>
          <w:szCs w:val="22"/>
          <w:lang w:val="en-US"/>
        </w:rPr>
        <w:t>seismotectonic</w:t>
      </w:r>
      <w:proofErr w:type="spellEnd"/>
      <w:r w:rsidRPr="00CA7FAF">
        <w:rPr>
          <w:rFonts w:ascii="TitilliumText22L Light" w:eastAsia="Times New Roman" w:hAnsi="TitilliumText22L Light" w:cs="Arial"/>
          <w:color w:val="000000"/>
          <w:sz w:val="22"/>
          <w:szCs w:val="22"/>
          <w:lang w:val="en-US"/>
        </w:rPr>
        <w:t xml:space="preserve"> considerations that still need full validation. Future implementation of new strong-motion stations at potentially hazardous sites and the strengthening of existing seismic networks will be an essential advancement to verify the applicability of existing ground motion prediction models and to promote the development of new locally-calibrated ones. Moreover, the availability of strong-motion recordings will support site-specific hazard studies, which require empirical data for the calibration and verification of numerical seismic-response models. This is a possible seco</w:t>
      </w:r>
      <w:r w:rsidR="00BC3710" w:rsidRPr="00CA7FAF">
        <w:rPr>
          <w:rFonts w:ascii="TitilliumText22L Light" w:eastAsia="Times New Roman" w:hAnsi="TitilliumText22L Light" w:cs="Arial"/>
          <w:color w:val="000000"/>
          <w:sz w:val="22"/>
          <w:szCs w:val="22"/>
          <w:lang w:val="en-US"/>
        </w:rPr>
        <w:t>nd-phase extension of this project</w:t>
      </w:r>
      <w:r w:rsidRPr="00CA7FAF">
        <w:rPr>
          <w:rFonts w:ascii="TitilliumText22L Light" w:eastAsia="Times New Roman" w:hAnsi="TitilliumText22L Light" w:cs="Arial"/>
          <w:color w:val="000000"/>
          <w:sz w:val="22"/>
          <w:szCs w:val="22"/>
          <w:lang w:val="en-US"/>
        </w:rPr>
        <w:t>.</w:t>
      </w:r>
    </w:p>
    <w:p w14:paraId="56AF0260" w14:textId="41812AC6" w:rsidR="006C3EBC" w:rsidRPr="0099690B" w:rsidRDefault="006C3EBC" w:rsidP="00CA7FAF">
      <w:pPr>
        <w:spacing w:after="200" w:line="276" w:lineRule="auto"/>
        <w:jc w:val="both"/>
        <w:rPr>
          <w:rFonts w:ascii="TitilliumText22L Light" w:eastAsia="Times New Roman" w:hAnsi="TitilliumText22L Light" w:cs="Arial"/>
          <w:b/>
          <w:color w:val="000000"/>
          <w:sz w:val="28"/>
          <w:szCs w:val="28"/>
          <w:lang w:val="en-US"/>
        </w:rPr>
      </w:pPr>
      <w:r w:rsidRPr="0099690B">
        <w:rPr>
          <w:rFonts w:ascii="TitilliumText22L Light" w:eastAsia="Times New Roman" w:hAnsi="TitilliumText22L Light" w:cs="Arial"/>
          <w:b/>
          <w:color w:val="000000"/>
          <w:sz w:val="28"/>
          <w:szCs w:val="28"/>
          <w:lang w:val="en-US"/>
        </w:rPr>
        <w:t>Information sharing, training and dissemination</w:t>
      </w:r>
    </w:p>
    <w:p w14:paraId="265889F3" w14:textId="058CA5D9" w:rsidR="00D534E5" w:rsidRDefault="00041A30" w:rsidP="00CA7FAF">
      <w:pPr>
        <w:spacing w:after="200" w:line="276" w:lineRule="auto"/>
        <w:jc w:val="both"/>
        <w:rPr>
          <w:rFonts w:ascii="TitilliumText22L Light" w:eastAsia="Times New Roman" w:hAnsi="TitilliumText22L Light" w:cs="Arial"/>
          <w:color w:val="000000"/>
          <w:sz w:val="22"/>
          <w:szCs w:val="22"/>
          <w:lang w:val="en-US"/>
        </w:rPr>
      </w:pPr>
      <w:r w:rsidRPr="00CA7FAF">
        <w:rPr>
          <w:rFonts w:ascii="TitilliumText22L Light" w:eastAsia="Times New Roman" w:hAnsi="TitilliumText22L Light" w:cs="Arial"/>
          <w:color w:val="000000"/>
          <w:sz w:val="22"/>
          <w:szCs w:val="22"/>
          <w:lang w:val="en-US"/>
        </w:rPr>
        <w:t>The mode</w:t>
      </w:r>
      <w:r w:rsidR="00A060EC" w:rsidRPr="00CA7FAF">
        <w:rPr>
          <w:rFonts w:ascii="TitilliumText22L Light" w:eastAsia="Times New Roman" w:hAnsi="TitilliumText22L Light" w:cs="Arial"/>
          <w:color w:val="000000"/>
          <w:sz w:val="22"/>
          <w:szCs w:val="22"/>
          <w:lang w:val="en-US"/>
        </w:rPr>
        <w:t xml:space="preserve">l was </w:t>
      </w:r>
      <w:r w:rsidR="00D659F0">
        <w:rPr>
          <w:rFonts w:ascii="TitilliumText22L Light" w:eastAsia="Times New Roman" w:hAnsi="TitilliumText22L Light" w:cs="Arial"/>
          <w:color w:val="000000"/>
          <w:sz w:val="22"/>
          <w:szCs w:val="22"/>
          <w:lang w:val="en-US"/>
        </w:rPr>
        <w:t>discussed</w:t>
      </w:r>
      <w:r w:rsidR="00D659F0" w:rsidRPr="00CA7FAF">
        <w:rPr>
          <w:rFonts w:ascii="TitilliumText22L Light" w:eastAsia="Times New Roman" w:hAnsi="TitilliumText22L Light" w:cs="Arial"/>
          <w:color w:val="000000"/>
          <w:sz w:val="22"/>
          <w:szCs w:val="22"/>
          <w:lang w:val="en-US"/>
        </w:rPr>
        <w:t xml:space="preserve"> </w:t>
      </w:r>
      <w:r w:rsidR="00D659F0">
        <w:rPr>
          <w:rFonts w:ascii="TitilliumText22L Light" w:eastAsia="Times New Roman" w:hAnsi="TitilliumText22L Light" w:cs="Arial"/>
          <w:color w:val="000000"/>
          <w:sz w:val="22"/>
          <w:szCs w:val="22"/>
          <w:lang w:val="en-US"/>
        </w:rPr>
        <w:t>in</w:t>
      </w:r>
      <w:r w:rsidR="00D659F0" w:rsidRPr="00CA7FAF">
        <w:rPr>
          <w:rFonts w:ascii="TitilliumText22L Light" w:eastAsia="Times New Roman" w:hAnsi="TitilliumText22L Light" w:cs="Arial"/>
          <w:color w:val="000000"/>
          <w:sz w:val="22"/>
          <w:szCs w:val="22"/>
          <w:lang w:val="en-US"/>
        </w:rPr>
        <w:t xml:space="preserve"> </w:t>
      </w:r>
      <w:r w:rsidR="00A060EC" w:rsidRPr="00CA7FAF">
        <w:rPr>
          <w:rFonts w:ascii="TitilliumText22L Light" w:eastAsia="Times New Roman" w:hAnsi="TitilliumText22L Light" w:cs="Arial"/>
          <w:color w:val="000000"/>
          <w:sz w:val="22"/>
          <w:szCs w:val="22"/>
          <w:lang w:val="en-US"/>
        </w:rPr>
        <w:t>a series</w:t>
      </w:r>
      <w:r w:rsidRPr="00CA7FAF">
        <w:rPr>
          <w:rFonts w:ascii="TitilliumText22L Light" w:eastAsia="Times New Roman" w:hAnsi="TitilliumText22L Light" w:cs="Arial"/>
          <w:color w:val="000000"/>
          <w:sz w:val="22"/>
          <w:szCs w:val="22"/>
          <w:lang w:val="en-US"/>
        </w:rPr>
        <w:t xml:space="preserve"> of meeting</w:t>
      </w:r>
      <w:r w:rsidR="00A060EC" w:rsidRPr="00CA7FAF">
        <w:rPr>
          <w:rFonts w:ascii="TitilliumText22L Light" w:eastAsia="Times New Roman" w:hAnsi="TitilliumText22L Light" w:cs="Arial"/>
          <w:color w:val="000000"/>
          <w:sz w:val="22"/>
          <w:szCs w:val="22"/>
          <w:lang w:val="en-US"/>
        </w:rPr>
        <w:t>s</w:t>
      </w:r>
      <w:r w:rsidRPr="00CA7FAF">
        <w:rPr>
          <w:rFonts w:ascii="TitilliumText22L Light" w:eastAsia="Times New Roman" w:hAnsi="TitilliumText22L Light" w:cs="Arial"/>
          <w:color w:val="000000"/>
          <w:sz w:val="22"/>
          <w:szCs w:val="22"/>
          <w:lang w:val="en-US"/>
        </w:rPr>
        <w:t xml:space="preserve"> and workshops </w:t>
      </w:r>
      <w:r w:rsidR="00450E68">
        <w:rPr>
          <w:rFonts w:ascii="TitilliumText22L Light" w:eastAsia="Times New Roman" w:hAnsi="TitilliumText22L Light" w:cs="Arial"/>
          <w:color w:val="000000"/>
          <w:sz w:val="22"/>
          <w:szCs w:val="22"/>
          <w:lang w:val="en-US"/>
        </w:rPr>
        <w:t>he</w:t>
      </w:r>
      <w:r w:rsidR="00D659F0">
        <w:rPr>
          <w:rFonts w:ascii="TitilliumText22L Light" w:eastAsia="Times New Roman" w:hAnsi="TitilliumText22L Light" w:cs="Arial"/>
          <w:color w:val="000000"/>
          <w:sz w:val="22"/>
          <w:szCs w:val="22"/>
          <w:lang w:val="en-US"/>
        </w:rPr>
        <w:t xml:space="preserve">ld </w:t>
      </w:r>
      <w:r w:rsidR="00F16D0A" w:rsidRPr="00CA7FAF">
        <w:rPr>
          <w:rFonts w:ascii="TitilliumText22L Light" w:eastAsia="Times New Roman" w:hAnsi="TitilliumText22L Light" w:cs="Arial"/>
          <w:color w:val="000000"/>
          <w:sz w:val="22"/>
          <w:szCs w:val="22"/>
          <w:lang w:val="en-US"/>
        </w:rPr>
        <w:t xml:space="preserve">in Pavia (Italy) and Johannesburg (South Africa) </w:t>
      </w:r>
      <w:r w:rsidRPr="00CA7FAF">
        <w:rPr>
          <w:rFonts w:ascii="TitilliumText22L Light" w:eastAsia="Times New Roman" w:hAnsi="TitilliumText22L Light" w:cs="Arial"/>
          <w:color w:val="000000"/>
          <w:sz w:val="22"/>
          <w:szCs w:val="22"/>
          <w:lang w:val="en-US"/>
        </w:rPr>
        <w:t>aimed at stimulating the continuous dialogue and collaboration among t</w:t>
      </w:r>
      <w:r w:rsidR="001F3775" w:rsidRPr="00CA7FAF">
        <w:rPr>
          <w:rFonts w:ascii="TitilliumText22L Light" w:eastAsia="Times New Roman" w:hAnsi="TitilliumText22L Light" w:cs="Arial"/>
          <w:color w:val="000000"/>
          <w:sz w:val="22"/>
          <w:szCs w:val="22"/>
          <w:lang w:val="en-US"/>
        </w:rPr>
        <w:t>he participants of the project.</w:t>
      </w:r>
      <w:r w:rsidR="008103FD" w:rsidRPr="00CA7FAF">
        <w:rPr>
          <w:rFonts w:ascii="TitilliumText22L Light" w:eastAsia="Times New Roman" w:hAnsi="TitilliumText22L Light" w:cs="Arial"/>
          <w:color w:val="000000"/>
          <w:sz w:val="22"/>
          <w:szCs w:val="22"/>
          <w:lang w:val="en-US"/>
        </w:rPr>
        <w:t xml:space="preserve"> </w:t>
      </w:r>
      <w:r w:rsidR="001F3775" w:rsidRPr="00CA7FAF">
        <w:rPr>
          <w:rFonts w:ascii="TitilliumText22L Light" w:eastAsia="Times New Roman" w:hAnsi="TitilliumText22L Light" w:cs="Arial"/>
          <w:color w:val="000000"/>
          <w:sz w:val="22"/>
          <w:szCs w:val="22"/>
          <w:lang w:val="en-US"/>
        </w:rPr>
        <w:t>All GEM products</w:t>
      </w:r>
      <w:r w:rsidRPr="00CA7FAF">
        <w:rPr>
          <w:rFonts w:ascii="TitilliumText22L Light" w:eastAsia="Times New Roman" w:hAnsi="TitilliumText22L Light" w:cs="Arial"/>
          <w:color w:val="000000"/>
          <w:sz w:val="22"/>
          <w:szCs w:val="22"/>
          <w:lang w:val="en-US"/>
        </w:rPr>
        <w:t xml:space="preserve">, including the homogenized SSA-GEM catalogue, source input files and PSHA results have been publicly released and presented </w:t>
      </w:r>
      <w:r w:rsidR="004C640B" w:rsidRPr="00CA7FAF">
        <w:rPr>
          <w:rFonts w:ascii="TitilliumText22L Light" w:eastAsia="Times New Roman" w:hAnsi="TitilliumText22L Light" w:cs="Arial"/>
          <w:color w:val="000000"/>
          <w:sz w:val="22"/>
          <w:szCs w:val="22"/>
          <w:lang w:val="en-US"/>
        </w:rPr>
        <w:t xml:space="preserve">for discussion and feedback </w:t>
      </w:r>
      <w:r w:rsidRPr="00CA7FAF">
        <w:rPr>
          <w:rFonts w:ascii="TitilliumText22L Light" w:eastAsia="Times New Roman" w:hAnsi="TitilliumText22L Light" w:cs="Arial"/>
          <w:color w:val="000000"/>
          <w:sz w:val="22"/>
          <w:szCs w:val="22"/>
          <w:lang w:val="en-US"/>
        </w:rPr>
        <w:t>to the African community within an event recently hosted in Addis Ababa (Ethiopia).</w:t>
      </w:r>
      <w:r w:rsidR="004C640B" w:rsidRPr="00CA7FAF">
        <w:rPr>
          <w:rFonts w:ascii="TitilliumText22L Light" w:eastAsia="Times New Roman" w:hAnsi="TitilliumText22L Light" w:cs="Arial"/>
          <w:color w:val="000000"/>
          <w:sz w:val="22"/>
          <w:szCs w:val="22"/>
          <w:lang w:val="en-US"/>
        </w:rPr>
        <w:t xml:space="preserve"> Experts from </w:t>
      </w:r>
      <w:r w:rsidR="002F600E" w:rsidRPr="00CA7FAF">
        <w:rPr>
          <w:rFonts w:ascii="TitilliumText22L Light" w:eastAsia="Times New Roman" w:hAnsi="TitilliumText22L Light" w:cs="Arial"/>
          <w:color w:val="000000"/>
          <w:sz w:val="22"/>
          <w:szCs w:val="22"/>
          <w:lang w:val="en-US"/>
        </w:rPr>
        <w:t>nine</w:t>
      </w:r>
      <w:r w:rsidR="004C640B" w:rsidRPr="00CA7FAF">
        <w:rPr>
          <w:rFonts w:ascii="TitilliumText22L Light" w:eastAsia="Times New Roman" w:hAnsi="TitilliumText22L Light" w:cs="Arial"/>
          <w:color w:val="000000"/>
          <w:sz w:val="22"/>
          <w:szCs w:val="22"/>
          <w:lang w:val="en-US"/>
        </w:rPr>
        <w:t xml:space="preserve"> African countries took part to the event; presentations by </w:t>
      </w:r>
      <w:r w:rsidR="00A96825" w:rsidRPr="00CA7FAF">
        <w:rPr>
          <w:rFonts w:ascii="TitilliumText22L Light" w:eastAsia="Times New Roman" w:hAnsi="TitilliumText22L Light" w:cs="Arial"/>
          <w:color w:val="000000"/>
          <w:sz w:val="22"/>
          <w:szCs w:val="22"/>
          <w:lang w:val="en-US"/>
        </w:rPr>
        <w:t xml:space="preserve">and to </w:t>
      </w:r>
      <w:r w:rsidR="004C640B" w:rsidRPr="00CA7FAF">
        <w:rPr>
          <w:rFonts w:ascii="TitilliumText22L Light" w:eastAsia="Times New Roman" w:hAnsi="TitilliumText22L Light" w:cs="Arial"/>
          <w:color w:val="000000"/>
          <w:sz w:val="22"/>
          <w:szCs w:val="22"/>
          <w:lang w:val="en-US"/>
        </w:rPr>
        <w:t>the participants helped to understand relevant work being done in the region and identify possible areas of future collaboration.</w:t>
      </w:r>
    </w:p>
    <w:p w14:paraId="7BDEF1A0" w14:textId="5F6457C8" w:rsidR="00AE628C" w:rsidRPr="00CA7FAF" w:rsidRDefault="00AE628C" w:rsidP="00CA7FAF">
      <w:pPr>
        <w:spacing w:after="200" w:line="276" w:lineRule="auto"/>
        <w:jc w:val="both"/>
        <w:rPr>
          <w:rFonts w:ascii="TitilliumText22L Light" w:eastAsia="Times New Roman" w:hAnsi="TitilliumText22L Light" w:cs="Arial"/>
          <w:color w:val="000000"/>
          <w:sz w:val="22"/>
          <w:szCs w:val="22"/>
          <w:lang w:val="en-US"/>
        </w:rPr>
      </w:pPr>
      <w:r>
        <w:rPr>
          <w:rFonts w:ascii="TitilliumText22L Light" w:eastAsia="Times New Roman" w:hAnsi="TitilliumText22L Light" w:cs="Arial"/>
          <w:color w:val="000000"/>
          <w:sz w:val="22"/>
          <w:szCs w:val="22"/>
          <w:lang w:val="en-US"/>
        </w:rPr>
        <w:t xml:space="preserve">The main results of the current work have been summarized in a technical report available </w:t>
      </w:r>
      <w:r w:rsidR="00885590">
        <w:rPr>
          <w:rFonts w:ascii="TitilliumText22L Light" w:eastAsia="Times New Roman" w:hAnsi="TitilliumText22L Light" w:cs="Arial"/>
          <w:color w:val="000000"/>
          <w:sz w:val="22"/>
          <w:szCs w:val="22"/>
          <w:lang w:val="en-US"/>
        </w:rPr>
        <w:t xml:space="preserve">online </w:t>
      </w:r>
      <w:r>
        <w:rPr>
          <w:rFonts w:ascii="TitilliumText22L Light" w:eastAsia="Times New Roman" w:hAnsi="TitilliumText22L Light" w:cs="Arial"/>
          <w:color w:val="000000"/>
          <w:sz w:val="22"/>
          <w:szCs w:val="22"/>
          <w:lang w:val="en-US"/>
        </w:rPr>
        <w:t>though the GEM platform</w:t>
      </w:r>
      <w:r w:rsidR="00766C3D">
        <w:rPr>
          <w:rFonts w:ascii="TitilliumText22L Light" w:eastAsia="Times New Roman" w:hAnsi="TitilliumText22L Light" w:cs="Arial"/>
          <w:color w:val="000000"/>
          <w:sz w:val="22"/>
          <w:szCs w:val="22"/>
          <w:lang w:val="en-US"/>
        </w:rPr>
        <w:t xml:space="preserve">. This technical report is also attached to this final report. </w:t>
      </w:r>
    </w:p>
    <w:p w14:paraId="24B3B84B" w14:textId="1352D2CA" w:rsidR="00967B9A" w:rsidRPr="0099690B" w:rsidRDefault="00085C45" w:rsidP="00CA7FAF">
      <w:pPr>
        <w:spacing w:after="200" w:line="276" w:lineRule="auto"/>
        <w:jc w:val="both"/>
        <w:rPr>
          <w:rFonts w:ascii="TitilliumText22L Light" w:hAnsi="TitilliumText22L Light"/>
          <w:b/>
          <w:sz w:val="28"/>
          <w:szCs w:val="28"/>
        </w:rPr>
      </w:pPr>
      <w:r w:rsidRPr="0099690B">
        <w:rPr>
          <w:rFonts w:ascii="TitilliumText22L Light" w:eastAsia="Times New Roman" w:hAnsi="TitilliumText22L Light" w:cs="Arial"/>
          <w:b/>
          <w:color w:val="000000"/>
          <w:sz w:val="28"/>
          <w:szCs w:val="28"/>
          <w:lang w:val="en-US"/>
        </w:rPr>
        <w:t>Recommendations on users and applications</w:t>
      </w:r>
    </w:p>
    <w:p w14:paraId="4321AAD2" w14:textId="77777777" w:rsidR="00421680" w:rsidRPr="00CA7FAF" w:rsidRDefault="00421680" w:rsidP="00CA7FAF">
      <w:pPr>
        <w:spacing w:after="200" w:line="276" w:lineRule="auto"/>
        <w:jc w:val="both"/>
        <w:rPr>
          <w:rFonts w:ascii="TitilliumText22L Light" w:eastAsia="Times New Roman" w:hAnsi="TitilliumText22L Light" w:cs="Arial"/>
          <w:color w:val="000000"/>
          <w:sz w:val="22"/>
          <w:szCs w:val="22"/>
          <w:lang w:val="en-US"/>
        </w:rPr>
      </w:pPr>
      <w:r w:rsidRPr="00CA7FAF">
        <w:rPr>
          <w:rFonts w:ascii="TitilliumText22L Light" w:eastAsia="Times New Roman" w:hAnsi="TitilliumText22L Light" w:cs="Arial"/>
          <w:color w:val="000000"/>
          <w:sz w:val="22"/>
          <w:szCs w:val="22"/>
          <w:lang w:val="en-US"/>
        </w:rPr>
        <w:t xml:space="preserve">The mitigation of earthquake risk in Africa requires coordinated action on several fronts. Firstly, seismic hazard assessments should be improved by maintaining and expanding seismic monitoring networks, supplementing historical and </w:t>
      </w:r>
      <w:proofErr w:type="spellStart"/>
      <w:r w:rsidRPr="00CA7FAF">
        <w:rPr>
          <w:rFonts w:ascii="TitilliumText22L Light" w:eastAsia="Times New Roman" w:hAnsi="TitilliumText22L Light" w:cs="Arial"/>
          <w:color w:val="000000"/>
          <w:sz w:val="22"/>
          <w:szCs w:val="22"/>
          <w:lang w:val="en-US"/>
        </w:rPr>
        <w:t>paleoseismic</w:t>
      </w:r>
      <w:proofErr w:type="spellEnd"/>
      <w:r w:rsidRPr="00CA7FAF">
        <w:rPr>
          <w:rFonts w:ascii="TitilliumText22L Light" w:eastAsia="Times New Roman" w:hAnsi="TitilliumText22L Light" w:cs="Arial"/>
          <w:color w:val="000000"/>
          <w:sz w:val="22"/>
          <w:szCs w:val="22"/>
          <w:lang w:val="en-US"/>
        </w:rPr>
        <w:t xml:space="preserve"> catalogues, and mapping active faults and the </w:t>
      </w:r>
      <w:proofErr w:type="gramStart"/>
      <w:r w:rsidRPr="00CA7FAF">
        <w:rPr>
          <w:rFonts w:ascii="TitilliumText22L Light" w:eastAsia="Times New Roman" w:hAnsi="TitilliumText22L Light" w:cs="Arial"/>
          <w:color w:val="000000"/>
          <w:sz w:val="22"/>
          <w:szCs w:val="22"/>
          <w:lang w:val="en-US"/>
        </w:rPr>
        <w:t>near-surface</w:t>
      </w:r>
      <w:proofErr w:type="gramEnd"/>
      <w:r w:rsidRPr="00CA7FAF">
        <w:rPr>
          <w:rFonts w:ascii="TitilliumText22L Light" w:eastAsia="Times New Roman" w:hAnsi="TitilliumText22L Light" w:cs="Arial"/>
          <w:color w:val="000000"/>
          <w:sz w:val="22"/>
          <w:szCs w:val="22"/>
          <w:lang w:val="en-US"/>
        </w:rPr>
        <w:t>. Secondly, building codes should be formulated and enforced, and vulnerable existing buildings and infrastructure reinforced to prevent serious damage or collapse when subjected to strong shaking. Lastly, disaster management agencies, emergency first responders, and the general public should be trained to act effectively and sensibly during an earthquake, and equipped to deal with the aftermath.</w:t>
      </w:r>
    </w:p>
    <w:p w14:paraId="618034A4" w14:textId="2788882C" w:rsidR="002D5470" w:rsidRDefault="00A96669" w:rsidP="002D5470">
      <w:pPr>
        <w:pStyle w:val="CommentText"/>
        <w:spacing w:after="200" w:line="276" w:lineRule="auto"/>
        <w:jc w:val="both"/>
        <w:rPr>
          <w:rFonts w:ascii="TitilliumText22L Light" w:hAnsi="TitilliumText22L Light"/>
          <w:sz w:val="22"/>
          <w:szCs w:val="22"/>
        </w:rPr>
      </w:pPr>
      <w:r w:rsidRPr="00CA7FAF">
        <w:rPr>
          <w:rFonts w:ascii="TitilliumText22L Light" w:hAnsi="TitilliumText22L Light"/>
          <w:sz w:val="22"/>
          <w:szCs w:val="22"/>
        </w:rPr>
        <w:t xml:space="preserve">The current model does not cover </w:t>
      </w:r>
      <w:r w:rsidR="00BE6C70">
        <w:rPr>
          <w:rFonts w:ascii="TitilliumText22L Light" w:hAnsi="TitilliumText22L Light"/>
          <w:sz w:val="22"/>
          <w:szCs w:val="22"/>
        </w:rPr>
        <w:t xml:space="preserve">– yet - </w:t>
      </w:r>
      <w:r w:rsidRPr="00CA7FAF">
        <w:rPr>
          <w:rFonts w:ascii="TitilliumText22L Light" w:hAnsi="TitilliumText22L Light"/>
          <w:sz w:val="22"/>
          <w:szCs w:val="22"/>
        </w:rPr>
        <w:t>a level of detail require</w:t>
      </w:r>
      <w:r w:rsidR="002D5470">
        <w:rPr>
          <w:rFonts w:ascii="TitilliumText22L Light" w:hAnsi="TitilliumText22L Light"/>
          <w:sz w:val="22"/>
          <w:szCs w:val="22"/>
        </w:rPr>
        <w:t xml:space="preserve">d for national hazard modelling and therefore </w:t>
      </w:r>
      <w:r w:rsidR="00450E68">
        <w:rPr>
          <w:rFonts w:ascii="TitilliumText22L Light" w:hAnsi="TitilliumText22L Light"/>
          <w:sz w:val="22"/>
          <w:szCs w:val="22"/>
        </w:rPr>
        <w:t>it should not</w:t>
      </w:r>
      <w:r w:rsidR="002D5470">
        <w:rPr>
          <w:rFonts w:ascii="TitilliumText22L Light" w:hAnsi="TitilliumText22L Light"/>
          <w:sz w:val="22"/>
          <w:szCs w:val="22"/>
        </w:rPr>
        <w:t xml:space="preserve"> be used directly for building code enforcement</w:t>
      </w:r>
      <w:r w:rsidR="00450E68">
        <w:rPr>
          <w:rFonts w:ascii="TitilliumText22L Light" w:hAnsi="TitilliumText22L Light"/>
          <w:sz w:val="22"/>
          <w:szCs w:val="22"/>
        </w:rPr>
        <w:t>, although it provides the essential information needed by modern building codes</w:t>
      </w:r>
      <w:r w:rsidR="002D5470">
        <w:rPr>
          <w:rFonts w:ascii="TitilliumText22L Light" w:hAnsi="TitilliumText22L Light"/>
          <w:sz w:val="22"/>
          <w:szCs w:val="22"/>
        </w:rPr>
        <w:t>.</w:t>
      </w:r>
      <w:r w:rsidRPr="00CA7FAF">
        <w:rPr>
          <w:rFonts w:ascii="TitilliumText22L Light" w:hAnsi="TitilliumText22L Light"/>
          <w:sz w:val="22"/>
          <w:szCs w:val="22"/>
        </w:rPr>
        <w:t xml:space="preserve"> Nevertheless, in lack of additional and more precise studies, it can b</w:t>
      </w:r>
      <w:r w:rsidR="00A603A1">
        <w:rPr>
          <w:rFonts w:ascii="TitilliumText22L Light" w:hAnsi="TitilliumText22L Light"/>
          <w:sz w:val="22"/>
          <w:szCs w:val="22"/>
        </w:rPr>
        <w:t>e used a</w:t>
      </w:r>
      <w:r w:rsidR="004A491A">
        <w:rPr>
          <w:rFonts w:ascii="TitilliumText22L Light" w:hAnsi="TitilliumText22L Light"/>
          <w:sz w:val="22"/>
          <w:szCs w:val="22"/>
        </w:rPr>
        <w:t>s</w:t>
      </w:r>
      <w:r w:rsidR="00A603A1">
        <w:rPr>
          <w:rFonts w:ascii="TitilliumText22L Light" w:hAnsi="TitilliumText22L Light"/>
          <w:sz w:val="22"/>
          <w:szCs w:val="22"/>
        </w:rPr>
        <w:t xml:space="preserve"> </w:t>
      </w:r>
      <w:r w:rsidR="004A491A">
        <w:rPr>
          <w:rFonts w:ascii="TitilliumText22L Light" w:hAnsi="TitilliumText22L Light"/>
          <w:sz w:val="22"/>
          <w:szCs w:val="22"/>
        </w:rPr>
        <w:t>provisional</w:t>
      </w:r>
      <w:r w:rsidR="00A603A1">
        <w:rPr>
          <w:rFonts w:ascii="TitilliumText22L Light" w:hAnsi="TitilliumText22L Light"/>
          <w:sz w:val="22"/>
          <w:szCs w:val="22"/>
        </w:rPr>
        <w:t xml:space="preserve"> </w:t>
      </w:r>
      <w:r w:rsidR="00BB0483">
        <w:rPr>
          <w:rFonts w:ascii="TitilliumText22L Light" w:hAnsi="TitilliumText22L Light"/>
          <w:sz w:val="22"/>
          <w:szCs w:val="22"/>
        </w:rPr>
        <w:t>solution</w:t>
      </w:r>
      <w:r w:rsidR="00A603A1">
        <w:rPr>
          <w:rFonts w:ascii="TitilliumText22L Light" w:hAnsi="TitilliumText22L Light"/>
          <w:sz w:val="22"/>
          <w:szCs w:val="22"/>
        </w:rPr>
        <w:t xml:space="preserve"> </w:t>
      </w:r>
      <w:r w:rsidR="008F3A22">
        <w:rPr>
          <w:rFonts w:ascii="TitilliumText22L Light" w:hAnsi="TitilliumText22L Light"/>
          <w:sz w:val="22"/>
          <w:szCs w:val="22"/>
        </w:rPr>
        <w:t>e.g. for gross calculation of losses</w:t>
      </w:r>
      <w:r w:rsidR="000136B4">
        <w:rPr>
          <w:rFonts w:ascii="TitilliumText22L Light" w:hAnsi="TitilliumText22L Light"/>
          <w:sz w:val="22"/>
          <w:szCs w:val="22"/>
        </w:rPr>
        <w:t>, but also</w:t>
      </w:r>
      <w:r w:rsidR="00A603A1">
        <w:rPr>
          <w:rFonts w:ascii="TitilliumText22L Light" w:hAnsi="TitilliumText22L Light"/>
          <w:sz w:val="22"/>
          <w:szCs w:val="22"/>
        </w:rPr>
        <w:t xml:space="preserve"> </w:t>
      </w:r>
      <w:r w:rsidR="000136B4">
        <w:rPr>
          <w:rFonts w:ascii="TitilliumText22L Light" w:hAnsi="TitilliumText22L Light"/>
          <w:sz w:val="22"/>
          <w:szCs w:val="22"/>
        </w:rPr>
        <w:t xml:space="preserve">as an incentive to </w:t>
      </w:r>
      <w:r w:rsidR="00A603A1">
        <w:rPr>
          <w:rFonts w:ascii="TitilliumText22L Light" w:hAnsi="TitilliumText22L Light"/>
          <w:sz w:val="22"/>
          <w:szCs w:val="22"/>
        </w:rPr>
        <w:t>stimulate awareness</w:t>
      </w:r>
      <w:r w:rsidR="00BB0483">
        <w:rPr>
          <w:rFonts w:ascii="TitilliumText22L Light" w:hAnsi="TitilliumText22L Light"/>
          <w:sz w:val="22"/>
          <w:szCs w:val="22"/>
        </w:rPr>
        <w:t xml:space="preserve"> on seismic hazard in</w:t>
      </w:r>
      <w:r w:rsidR="00B2453D">
        <w:rPr>
          <w:rFonts w:ascii="TitilliumText22L Light" w:hAnsi="TitilliumText22L Light"/>
          <w:sz w:val="22"/>
          <w:szCs w:val="22"/>
        </w:rPr>
        <w:t xml:space="preserve"> </w:t>
      </w:r>
      <w:r w:rsidR="00BB0483">
        <w:rPr>
          <w:rFonts w:ascii="TitilliumText22L Light" w:hAnsi="TitilliumText22L Light"/>
          <w:sz w:val="22"/>
          <w:szCs w:val="22"/>
        </w:rPr>
        <w:t xml:space="preserve">local </w:t>
      </w:r>
      <w:r w:rsidR="0011616B">
        <w:rPr>
          <w:rFonts w:ascii="TitilliumText22L Light" w:hAnsi="TitilliumText22L Light"/>
          <w:sz w:val="22"/>
          <w:szCs w:val="22"/>
        </w:rPr>
        <w:t>governmental institutions.</w:t>
      </w:r>
      <w:r w:rsidR="00F329E4">
        <w:rPr>
          <w:rFonts w:ascii="TitilliumText22L Light" w:hAnsi="TitilliumText22L Light"/>
          <w:sz w:val="22"/>
          <w:szCs w:val="22"/>
        </w:rPr>
        <w:t xml:space="preserve"> E</w:t>
      </w:r>
      <w:r w:rsidR="00D160D7">
        <w:rPr>
          <w:rFonts w:ascii="TitilliumText22L Light" w:hAnsi="TitilliumText22L Light"/>
          <w:sz w:val="22"/>
          <w:szCs w:val="22"/>
        </w:rPr>
        <w:t xml:space="preserve">xtending the present model to national </w:t>
      </w:r>
      <w:r w:rsidR="004A491A">
        <w:rPr>
          <w:rFonts w:ascii="TitilliumText22L Light" w:hAnsi="TitilliumText22L Light"/>
          <w:sz w:val="22"/>
          <w:szCs w:val="22"/>
        </w:rPr>
        <w:t>level</w:t>
      </w:r>
      <w:r w:rsidR="00D160D7">
        <w:rPr>
          <w:rFonts w:ascii="TitilliumText22L Light" w:hAnsi="TitilliumText22L Light"/>
          <w:sz w:val="22"/>
          <w:szCs w:val="22"/>
        </w:rPr>
        <w:t xml:space="preserve"> and for city scenario </w:t>
      </w:r>
      <w:r w:rsidR="00F329E4">
        <w:rPr>
          <w:rFonts w:ascii="TitilliumText22L Light" w:hAnsi="TitilliumText22L Light"/>
          <w:sz w:val="22"/>
          <w:szCs w:val="22"/>
        </w:rPr>
        <w:t xml:space="preserve">clearly </w:t>
      </w:r>
      <w:r w:rsidR="000136B4">
        <w:rPr>
          <w:rFonts w:ascii="TitilliumText22L Light" w:hAnsi="TitilliumText22L Light"/>
          <w:sz w:val="22"/>
          <w:szCs w:val="22"/>
        </w:rPr>
        <w:t>represents</w:t>
      </w:r>
      <w:r w:rsidR="004A491A">
        <w:rPr>
          <w:rFonts w:ascii="TitilliumText22L Light" w:hAnsi="TitilliumText22L Light"/>
          <w:sz w:val="22"/>
          <w:szCs w:val="22"/>
        </w:rPr>
        <w:t xml:space="preserve"> </w:t>
      </w:r>
      <w:r w:rsidR="00D160D7">
        <w:rPr>
          <w:rFonts w:ascii="TitilliumText22L Light" w:hAnsi="TitilliumText22L Light"/>
          <w:sz w:val="22"/>
          <w:szCs w:val="22"/>
        </w:rPr>
        <w:t>a natural follow-up</w:t>
      </w:r>
      <w:r w:rsidR="00E9136C">
        <w:rPr>
          <w:rFonts w:ascii="TitilliumText22L Light" w:hAnsi="TitilliumText22L Light"/>
          <w:sz w:val="22"/>
          <w:szCs w:val="22"/>
        </w:rPr>
        <w:t>,</w:t>
      </w:r>
      <w:r w:rsidR="00D160D7">
        <w:rPr>
          <w:rFonts w:ascii="TitilliumText22L Light" w:hAnsi="TitilliumText22L Light"/>
          <w:sz w:val="22"/>
          <w:szCs w:val="22"/>
        </w:rPr>
        <w:t xml:space="preserve"> </w:t>
      </w:r>
      <w:r w:rsidR="004A491A">
        <w:rPr>
          <w:rFonts w:ascii="TitilliumText22L Light" w:hAnsi="TitilliumText22L Light"/>
          <w:sz w:val="22"/>
          <w:szCs w:val="22"/>
        </w:rPr>
        <w:t xml:space="preserve">as </w:t>
      </w:r>
      <w:r w:rsidR="00E9136C">
        <w:rPr>
          <w:rFonts w:ascii="TitilliumText22L Light" w:hAnsi="TitilliumText22L Light"/>
          <w:sz w:val="22"/>
          <w:szCs w:val="22"/>
        </w:rPr>
        <w:t>soon</w:t>
      </w:r>
      <w:r w:rsidR="004A491A">
        <w:rPr>
          <w:rFonts w:ascii="TitilliumText22L Light" w:hAnsi="TitilliumText22L Light"/>
          <w:sz w:val="22"/>
          <w:szCs w:val="22"/>
        </w:rPr>
        <w:t xml:space="preserve"> </w:t>
      </w:r>
      <w:r w:rsidR="007B46E0">
        <w:rPr>
          <w:rFonts w:ascii="TitilliumText22L Light" w:hAnsi="TitilliumText22L Light"/>
          <w:sz w:val="22"/>
          <w:szCs w:val="22"/>
        </w:rPr>
        <w:t xml:space="preserve">as </w:t>
      </w:r>
      <w:r w:rsidR="004A491A">
        <w:rPr>
          <w:rFonts w:ascii="TitilliumText22L Light" w:hAnsi="TitilliumText22L Light"/>
          <w:sz w:val="22"/>
          <w:szCs w:val="22"/>
        </w:rPr>
        <w:t>new local information (e.g. studies on nearby fault</w:t>
      </w:r>
      <w:r w:rsidR="00442E8B">
        <w:rPr>
          <w:rFonts w:ascii="TitilliumText22L Light" w:hAnsi="TitilliumText22L Light"/>
          <w:sz w:val="22"/>
          <w:szCs w:val="22"/>
        </w:rPr>
        <w:t>s</w:t>
      </w:r>
      <w:r w:rsidR="004A491A">
        <w:rPr>
          <w:rFonts w:ascii="TitilliumText22L Light" w:hAnsi="TitilliumText22L Light"/>
          <w:sz w:val="22"/>
          <w:szCs w:val="22"/>
        </w:rPr>
        <w:t xml:space="preserve"> and site response</w:t>
      </w:r>
      <w:r w:rsidR="00442E8B">
        <w:rPr>
          <w:rFonts w:ascii="TitilliumText22L Light" w:hAnsi="TitilliumText22L Light"/>
          <w:sz w:val="22"/>
          <w:szCs w:val="22"/>
        </w:rPr>
        <w:t xml:space="preserve"> analyses, week and strong ground motion recordings</w:t>
      </w:r>
      <w:r w:rsidR="004A491A">
        <w:rPr>
          <w:rFonts w:ascii="TitilliumText22L Light" w:hAnsi="TitilliumText22L Light"/>
          <w:sz w:val="22"/>
          <w:szCs w:val="22"/>
        </w:rPr>
        <w:t xml:space="preserve">) </w:t>
      </w:r>
      <w:r w:rsidR="007B46E0">
        <w:rPr>
          <w:rFonts w:ascii="TitilliumText22L Light" w:hAnsi="TitilliumText22L Light"/>
          <w:sz w:val="22"/>
          <w:szCs w:val="22"/>
        </w:rPr>
        <w:t>will be</w:t>
      </w:r>
      <w:r w:rsidR="00D160D7">
        <w:rPr>
          <w:rFonts w:ascii="TitilliumText22L Light" w:hAnsi="TitilliumText22L Light"/>
          <w:sz w:val="22"/>
          <w:szCs w:val="22"/>
        </w:rPr>
        <w:t xml:space="preserve"> available.</w:t>
      </w:r>
    </w:p>
    <w:p w14:paraId="20E25FE8" w14:textId="77777777" w:rsidR="00B160F7" w:rsidRDefault="00B160F7" w:rsidP="002D5470">
      <w:pPr>
        <w:pStyle w:val="CommentText"/>
        <w:spacing w:after="200" w:line="276" w:lineRule="auto"/>
        <w:jc w:val="both"/>
        <w:rPr>
          <w:rFonts w:ascii="TitilliumText22L Light" w:hAnsi="TitilliumText22L Light"/>
          <w:sz w:val="22"/>
          <w:szCs w:val="22"/>
        </w:rPr>
      </w:pPr>
    </w:p>
    <w:p w14:paraId="092288DD" w14:textId="43A80C08" w:rsidR="0099690B" w:rsidRPr="00B160F7" w:rsidRDefault="00B160F7" w:rsidP="0099690B">
      <w:pPr>
        <w:spacing w:after="200" w:line="276" w:lineRule="auto"/>
        <w:jc w:val="both"/>
        <w:rPr>
          <w:rFonts w:ascii="TitilliumText22L Light" w:hAnsi="TitilliumText22L Light"/>
          <w:b/>
          <w:sz w:val="28"/>
          <w:szCs w:val="28"/>
        </w:rPr>
      </w:pPr>
      <w:r>
        <w:rPr>
          <w:rFonts w:ascii="TitilliumText22L Light" w:eastAsia="Times New Roman" w:hAnsi="TitilliumText22L Light" w:cs="Arial"/>
          <w:b/>
          <w:color w:val="000000"/>
          <w:sz w:val="28"/>
          <w:szCs w:val="28"/>
          <w:lang w:val="en-US"/>
        </w:rPr>
        <w:t>Figures</w:t>
      </w:r>
    </w:p>
    <w:p w14:paraId="6DFCC8BB" w14:textId="77777777" w:rsidR="0099690B" w:rsidRPr="00CA7FAF" w:rsidRDefault="0099690B" w:rsidP="0099690B">
      <w:pPr>
        <w:spacing w:after="200" w:line="276" w:lineRule="auto"/>
        <w:jc w:val="both"/>
        <w:rPr>
          <w:rFonts w:ascii="TitilliumText22L Light" w:hAnsi="TitilliumText22L Light" w:cs="Arial"/>
          <w:color w:val="000000"/>
          <w:sz w:val="22"/>
          <w:szCs w:val="2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95"/>
        <w:gridCol w:w="3021"/>
      </w:tblGrid>
      <w:tr w:rsidR="0099690B" w:rsidRPr="00CA7FAF" w14:paraId="0D6C9DE3" w14:textId="77777777" w:rsidTr="00537BDE">
        <w:tc>
          <w:tcPr>
            <w:tcW w:w="5495" w:type="dxa"/>
          </w:tcPr>
          <w:p w14:paraId="0CE92A54" w14:textId="77777777" w:rsidR="0099690B" w:rsidRPr="00CA7FAF" w:rsidRDefault="0099690B" w:rsidP="00537BDE">
            <w:pPr>
              <w:widowControl w:val="0"/>
              <w:autoSpaceDE w:val="0"/>
              <w:autoSpaceDN w:val="0"/>
              <w:adjustRightInd w:val="0"/>
              <w:spacing w:after="200" w:line="276" w:lineRule="auto"/>
              <w:rPr>
                <w:rFonts w:ascii="TitilliumText22L Light" w:hAnsi="TitilliumText22L Light" w:cs="Times"/>
              </w:rPr>
            </w:pPr>
            <w:r w:rsidRPr="00CA7FAF">
              <w:rPr>
                <w:rFonts w:ascii="TitilliumText22L Light" w:hAnsi="TitilliumText22L Light" w:cs="Times"/>
                <w:noProof/>
                <w:lang w:val="en-US"/>
              </w:rPr>
              <w:drawing>
                <wp:inline distT="0" distB="0" distL="0" distR="0" wp14:anchorId="49247C78" wp14:editId="17C7F13F">
                  <wp:extent cx="3312294" cy="3908423"/>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_CAT.png"/>
                          <pic:cNvPicPr/>
                        </pic:nvPicPr>
                        <pic:blipFill>
                          <a:blip r:embed="rId6">
                            <a:extLst>
                              <a:ext uri="{28A0092B-C50C-407E-A947-70E740481C1C}">
                                <a14:useLocalDpi xmlns:a14="http://schemas.microsoft.com/office/drawing/2010/main" val="0"/>
                              </a:ext>
                            </a:extLst>
                          </a:blip>
                          <a:stretch>
                            <a:fillRect/>
                          </a:stretch>
                        </pic:blipFill>
                        <pic:spPr>
                          <a:xfrm>
                            <a:off x="0" y="0"/>
                            <a:ext cx="3313226" cy="3909523"/>
                          </a:xfrm>
                          <a:prstGeom prst="rect">
                            <a:avLst/>
                          </a:prstGeom>
                        </pic:spPr>
                      </pic:pic>
                    </a:graphicData>
                  </a:graphic>
                </wp:inline>
              </w:drawing>
            </w:r>
          </w:p>
        </w:tc>
        <w:tc>
          <w:tcPr>
            <w:tcW w:w="3021" w:type="dxa"/>
          </w:tcPr>
          <w:p w14:paraId="68099A27" w14:textId="77777777" w:rsidR="0099690B" w:rsidRPr="00CA7FAF" w:rsidRDefault="0099690B" w:rsidP="00537BDE">
            <w:pPr>
              <w:spacing w:after="200" w:line="276" w:lineRule="auto"/>
              <w:rPr>
                <w:rFonts w:ascii="TitilliumText22L Light" w:hAnsi="TitilliumText22L Light" w:cs="Arial"/>
              </w:rPr>
            </w:pPr>
          </w:p>
          <w:p w14:paraId="536BA880" w14:textId="77777777" w:rsidR="0099690B" w:rsidRPr="00CA7FAF" w:rsidRDefault="0099690B" w:rsidP="00537BDE">
            <w:pPr>
              <w:spacing w:after="200" w:line="276" w:lineRule="auto"/>
              <w:rPr>
                <w:rFonts w:ascii="TitilliumText22L Light" w:hAnsi="TitilliumText22L Light" w:cs="Arial"/>
              </w:rPr>
            </w:pPr>
          </w:p>
          <w:p w14:paraId="642C2AA3" w14:textId="77777777" w:rsidR="0099690B" w:rsidRPr="00CA7FAF" w:rsidRDefault="0099690B" w:rsidP="00537BDE">
            <w:pPr>
              <w:widowControl w:val="0"/>
              <w:autoSpaceDE w:val="0"/>
              <w:autoSpaceDN w:val="0"/>
              <w:adjustRightInd w:val="0"/>
              <w:spacing w:after="200" w:line="276" w:lineRule="auto"/>
              <w:jc w:val="both"/>
              <w:rPr>
                <w:rFonts w:ascii="TitilliumText22L Light" w:hAnsi="TitilliumText22L Light" w:cs="Times"/>
              </w:rPr>
            </w:pPr>
            <w:r w:rsidRPr="00CA7FAF">
              <w:rPr>
                <w:rFonts w:ascii="TitilliumText22L Light" w:hAnsi="TitilliumText22L Light" w:cs="Times"/>
                <w:noProof/>
                <w:lang w:val="en-US"/>
              </w:rPr>
              <w:drawing>
                <wp:inline distT="0" distB="0" distL="0" distR="0" wp14:anchorId="6C7EB5B5" wp14:editId="540DC6F5">
                  <wp:extent cx="1702216" cy="3404431"/>
                  <wp:effectExtent l="0" t="0" r="0" b="0"/>
                  <wp:docPr id="22" name="Picture 22" descr="Macintosh HD:Users:valeriopoggi:GDrive:GEM_Projects:SSA_Hazard_2016:12_Publication:Pictures:Catalogue:SSA_GEM_Time_Magnitu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valeriopoggi:GDrive:GEM_Projects:SSA_Hazard_2016:12_Publication:Pictures:Catalogue:SSA_GEM_Time_Magnitu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2564" cy="3405126"/>
                          </a:xfrm>
                          <a:prstGeom prst="rect">
                            <a:avLst/>
                          </a:prstGeom>
                          <a:noFill/>
                          <a:ln>
                            <a:noFill/>
                          </a:ln>
                        </pic:spPr>
                      </pic:pic>
                    </a:graphicData>
                  </a:graphic>
                </wp:inline>
              </w:drawing>
            </w:r>
          </w:p>
        </w:tc>
      </w:tr>
    </w:tbl>
    <w:p w14:paraId="3DD80BD7" w14:textId="68406283" w:rsidR="0099690B" w:rsidRDefault="0099690B" w:rsidP="002D5470">
      <w:pPr>
        <w:spacing w:after="200" w:line="276" w:lineRule="auto"/>
        <w:jc w:val="both"/>
        <w:rPr>
          <w:rFonts w:ascii="TitilliumText22L Light" w:hAnsi="TitilliumText22L Light" w:cs="Arial"/>
          <w:sz w:val="22"/>
          <w:szCs w:val="22"/>
        </w:rPr>
      </w:pPr>
      <w:bookmarkStart w:id="1" w:name="_Ref330634361"/>
      <w:r w:rsidRPr="00CA7FAF">
        <w:rPr>
          <w:rFonts w:ascii="TitilliumText22L Light" w:hAnsi="TitilliumText22L Light" w:cs="Arial"/>
          <w:sz w:val="22"/>
          <w:szCs w:val="22"/>
        </w:rPr>
        <w:t>Fig</w:t>
      </w:r>
      <w:bookmarkEnd w:id="1"/>
      <w:r w:rsidRPr="00CA7FAF">
        <w:rPr>
          <w:rFonts w:ascii="TitilliumText22L Light" w:hAnsi="TitilliumText22L Light" w:cs="Arial"/>
          <w:sz w:val="22"/>
          <w:szCs w:val="22"/>
        </w:rPr>
        <w:t>ure 1. Left - Distribution of events from the homogenised SSA earthquake catalogue. Right: Magnitude over time distribution</w:t>
      </w:r>
      <w:r>
        <w:rPr>
          <w:rFonts w:ascii="TitilliumText22L Light" w:hAnsi="TitilliumText22L Light" w:cs="Arial"/>
          <w:sz w:val="22"/>
          <w:szCs w:val="22"/>
        </w:rPr>
        <w:t>.</w:t>
      </w:r>
    </w:p>
    <w:p w14:paraId="2E395360" w14:textId="17CD04F4" w:rsidR="00567FF2" w:rsidRDefault="0099690B" w:rsidP="0038128E">
      <w:pPr>
        <w:rPr>
          <w:rFonts w:ascii="TitilliumText22L Light" w:hAnsi="TitilliumText22L Light" w:cs="Arial"/>
          <w:sz w:val="22"/>
          <w:szCs w:val="22"/>
        </w:rPr>
      </w:pPr>
      <w:r>
        <w:rPr>
          <w:rFonts w:ascii="TitilliumText22L Light" w:hAnsi="TitilliumText22L Light" w:cs="Arial"/>
          <w:sz w:val="22"/>
          <w:szCs w:val="22"/>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7"/>
        <w:gridCol w:w="3021"/>
      </w:tblGrid>
      <w:tr w:rsidR="0099690B" w:rsidRPr="00CA7FAF" w14:paraId="23E9550B" w14:textId="77777777" w:rsidTr="00537BDE">
        <w:tc>
          <w:tcPr>
            <w:tcW w:w="5387" w:type="dxa"/>
          </w:tcPr>
          <w:p w14:paraId="20F12567" w14:textId="77777777" w:rsidR="0099690B" w:rsidRPr="00CA7FAF" w:rsidRDefault="0099690B" w:rsidP="00537BDE">
            <w:pPr>
              <w:widowControl w:val="0"/>
              <w:autoSpaceDE w:val="0"/>
              <w:autoSpaceDN w:val="0"/>
              <w:adjustRightInd w:val="0"/>
              <w:spacing w:after="200" w:line="276" w:lineRule="auto"/>
              <w:jc w:val="both"/>
              <w:rPr>
                <w:rFonts w:ascii="TitilliumText22L Light" w:hAnsi="TitilliumText22L Light" w:cs="Arial"/>
              </w:rPr>
            </w:pPr>
            <w:r w:rsidRPr="00CA7FAF">
              <w:rPr>
                <w:rFonts w:ascii="TitilliumText22L Light" w:hAnsi="TitilliumText22L Light" w:cs="Arial"/>
                <w:noProof/>
                <w:lang w:val="en-US"/>
              </w:rPr>
              <w:drawing>
                <wp:inline distT="0" distB="0" distL="0" distR="0" wp14:anchorId="49705512" wp14:editId="757C77B7">
                  <wp:extent cx="3358497" cy="391611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_AREA.png"/>
                          <pic:cNvPicPr/>
                        </pic:nvPicPr>
                        <pic:blipFill>
                          <a:blip r:embed="rId8">
                            <a:extLst>
                              <a:ext uri="{28A0092B-C50C-407E-A947-70E740481C1C}">
                                <a14:useLocalDpi xmlns:a14="http://schemas.microsoft.com/office/drawing/2010/main" val="0"/>
                              </a:ext>
                            </a:extLst>
                          </a:blip>
                          <a:stretch>
                            <a:fillRect/>
                          </a:stretch>
                        </pic:blipFill>
                        <pic:spPr>
                          <a:xfrm>
                            <a:off x="0" y="0"/>
                            <a:ext cx="3359033" cy="3916744"/>
                          </a:xfrm>
                          <a:prstGeom prst="rect">
                            <a:avLst/>
                          </a:prstGeom>
                        </pic:spPr>
                      </pic:pic>
                    </a:graphicData>
                  </a:graphic>
                </wp:inline>
              </w:drawing>
            </w:r>
          </w:p>
        </w:tc>
        <w:tc>
          <w:tcPr>
            <w:tcW w:w="3021" w:type="dxa"/>
          </w:tcPr>
          <w:p w14:paraId="5E349FF5" w14:textId="77777777" w:rsidR="0099690B" w:rsidRPr="00CA7FAF" w:rsidRDefault="0099690B" w:rsidP="00537BDE">
            <w:pPr>
              <w:spacing w:after="200" w:line="276" w:lineRule="auto"/>
              <w:jc w:val="both"/>
              <w:rPr>
                <w:rFonts w:ascii="TitilliumText22L Light" w:hAnsi="TitilliumText22L Light" w:cs="Arial"/>
              </w:rPr>
            </w:pPr>
            <w:bookmarkStart w:id="2" w:name="_Ref332986222"/>
            <w:r w:rsidRPr="00CA7FAF">
              <w:rPr>
                <w:rFonts w:ascii="TitilliumText22L Light" w:hAnsi="TitilliumText22L Light" w:cs="Arial"/>
              </w:rPr>
              <w:t>Fig</w:t>
            </w:r>
            <w:bookmarkEnd w:id="2"/>
            <w:r w:rsidRPr="00CA7FAF">
              <w:rPr>
                <w:rFonts w:ascii="TitilliumText22L Light" w:hAnsi="TitilliumText22L Light" w:cs="Arial"/>
              </w:rPr>
              <w:t>ure 2. Source zonation model used in this study. Area sources belonging to same tectonic group are represented with unique colour. Calculation area is marked with red solid line.</w:t>
            </w:r>
          </w:p>
        </w:tc>
      </w:tr>
    </w:tbl>
    <w:p w14:paraId="594B6DDF" w14:textId="77777777" w:rsidR="0099690B" w:rsidRDefault="0099690B" w:rsidP="002D5470">
      <w:pPr>
        <w:spacing w:after="200" w:line="276" w:lineRule="auto"/>
        <w:jc w:val="both"/>
        <w:rPr>
          <w:rFonts w:ascii="TitilliumText22L Light" w:hAnsi="TitilliumText22L Light" w:cs="Arial"/>
          <w:sz w:val="22"/>
          <w:szCs w:val="22"/>
        </w:rPr>
      </w:pPr>
    </w:p>
    <w:p w14:paraId="027737D1" w14:textId="77777777" w:rsidR="00F26255" w:rsidRDefault="00F26255">
      <w:pPr>
        <w:rPr>
          <w:rFonts w:ascii="TitilliumText22L Light" w:hAnsi="TitilliumText22L Light" w:cs="Arial"/>
          <w:color w:val="000000"/>
          <w:sz w:val="22"/>
          <w:szCs w:val="22"/>
          <w:lang w:val="en-US"/>
        </w:rPr>
      </w:pPr>
    </w:p>
    <w:p w14:paraId="2C971065" w14:textId="77777777" w:rsidR="00F26255" w:rsidRDefault="00F26255">
      <w:pPr>
        <w:rPr>
          <w:rFonts w:ascii="TitilliumText22L Light" w:hAnsi="TitilliumText22L Light" w:cs="Arial"/>
          <w:color w:val="000000"/>
          <w:sz w:val="22"/>
          <w:szCs w:val="22"/>
          <w:lang w:val="en-US"/>
        </w:rPr>
      </w:pPr>
    </w:p>
    <w:p w14:paraId="3A5CC902" w14:textId="77777777" w:rsidR="00F26255" w:rsidRDefault="00F26255">
      <w:pPr>
        <w:rPr>
          <w:rFonts w:ascii="TitilliumText22L Light" w:hAnsi="TitilliumText22L Light" w:cs="Arial"/>
          <w:color w:val="000000"/>
          <w:sz w:val="22"/>
          <w:szCs w:val="2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4258"/>
      </w:tblGrid>
      <w:tr w:rsidR="00F26255" w14:paraId="43FA17B5" w14:textId="77777777" w:rsidTr="00537BDE">
        <w:tc>
          <w:tcPr>
            <w:tcW w:w="4258" w:type="dxa"/>
          </w:tcPr>
          <w:p w14:paraId="32A4F41D" w14:textId="77777777" w:rsidR="00F26255" w:rsidRDefault="00F26255" w:rsidP="00537BDE">
            <w:pPr>
              <w:widowControl w:val="0"/>
              <w:autoSpaceDE w:val="0"/>
              <w:autoSpaceDN w:val="0"/>
              <w:adjustRightInd w:val="0"/>
              <w:rPr>
                <w:rFonts w:ascii="Times" w:hAnsi="Times" w:cs="Times"/>
              </w:rPr>
            </w:pPr>
            <w:proofErr w:type="gramStart"/>
            <w:r>
              <w:rPr>
                <w:rFonts w:ascii="Times" w:hAnsi="Times" w:cs="Times"/>
              </w:rPr>
              <w:t>a</w:t>
            </w:r>
            <w:proofErr w:type="gramEnd"/>
            <w:r>
              <w:rPr>
                <w:rFonts w:ascii="Times" w:hAnsi="Times" w:cs="Times"/>
              </w:rPr>
              <w:t>)</w:t>
            </w:r>
          </w:p>
          <w:p w14:paraId="7D35D64C" w14:textId="77777777" w:rsidR="00F26255" w:rsidRDefault="00F26255" w:rsidP="00537BDE">
            <w:pPr>
              <w:widowControl w:val="0"/>
              <w:autoSpaceDE w:val="0"/>
              <w:autoSpaceDN w:val="0"/>
              <w:adjustRightInd w:val="0"/>
              <w:rPr>
                <w:rFonts w:ascii="Times" w:hAnsi="Times" w:cs="Times"/>
              </w:rPr>
            </w:pPr>
            <w:r>
              <w:rPr>
                <w:rFonts w:ascii="Times" w:hAnsi="Times" w:cs="Times"/>
                <w:noProof/>
                <w:lang w:val="en-US"/>
              </w:rPr>
              <w:drawing>
                <wp:inline distT="0" distB="0" distL="0" distR="0" wp14:anchorId="6C6C49F3" wp14:editId="115DEF42">
                  <wp:extent cx="2514600" cy="2057400"/>
                  <wp:effectExtent l="0" t="0" r="0" b="0"/>
                  <wp:docPr id="14" name="Picture 14" descr="Macintosh HD:Users:valeriopoggi:GDrive:GEM_Projects:SSA_Hazard_2016:12_Publication:Pictures:Seismicity:MFD_Fit_Full_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opoggi:GDrive:GEM_Projects:SSA_Hazard_2016:12_Publication:Pictures:Seismicity:MFD_Fit_Full_Ca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2057400"/>
                          </a:xfrm>
                          <a:prstGeom prst="rect">
                            <a:avLst/>
                          </a:prstGeom>
                          <a:noFill/>
                          <a:ln>
                            <a:noFill/>
                          </a:ln>
                        </pic:spPr>
                      </pic:pic>
                    </a:graphicData>
                  </a:graphic>
                </wp:inline>
              </w:drawing>
            </w:r>
          </w:p>
        </w:tc>
        <w:tc>
          <w:tcPr>
            <w:tcW w:w="4258" w:type="dxa"/>
          </w:tcPr>
          <w:p w14:paraId="156B29AF" w14:textId="77777777" w:rsidR="00F26255" w:rsidRDefault="00F26255" w:rsidP="00537BDE">
            <w:pPr>
              <w:widowControl w:val="0"/>
              <w:autoSpaceDE w:val="0"/>
              <w:autoSpaceDN w:val="0"/>
              <w:adjustRightInd w:val="0"/>
              <w:rPr>
                <w:rFonts w:ascii="Times" w:hAnsi="Times" w:cs="Times"/>
              </w:rPr>
            </w:pPr>
            <w:proofErr w:type="gramStart"/>
            <w:r>
              <w:rPr>
                <w:rFonts w:ascii="Times" w:hAnsi="Times" w:cs="Times"/>
              </w:rPr>
              <w:t>b</w:t>
            </w:r>
            <w:proofErr w:type="gramEnd"/>
            <w:r>
              <w:rPr>
                <w:rFonts w:ascii="Times" w:hAnsi="Times" w:cs="Times"/>
              </w:rPr>
              <w:t>)</w:t>
            </w:r>
          </w:p>
          <w:p w14:paraId="4B2ACCA8" w14:textId="77777777" w:rsidR="00F26255" w:rsidRDefault="00F26255" w:rsidP="00537BDE">
            <w:pPr>
              <w:widowControl w:val="0"/>
              <w:autoSpaceDE w:val="0"/>
              <w:autoSpaceDN w:val="0"/>
              <w:adjustRightInd w:val="0"/>
              <w:rPr>
                <w:rFonts w:ascii="Times" w:hAnsi="Times" w:cs="Times"/>
              </w:rPr>
            </w:pPr>
            <w:r>
              <w:rPr>
                <w:rFonts w:ascii="Times" w:hAnsi="Times" w:cs="Times"/>
                <w:noProof/>
                <w:lang w:val="en-US"/>
              </w:rPr>
              <w:drawing>
                <wp:inline distT="0" distB="0" distL="0" distR="0" wp14:anchorId="5BB073BE" wp14:editId="1B5525C7">
                  <wp:extent cx="2514600" cy="2011680"/>
                  <wp:effectExtent l="0" t="0" r="0" b="0"/>
                  <wp:docPr id="20" name="Picture 20" descr="Macintosh HD:Users:valeriopoggi:GDrive:GEM_Projects:SSA_Hazard_2016:12_Publication:Pictures:Seismicity:GIMP:Compl_MT_Full_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opoggi:GDrive:GEM_Projects:SSA_Hazard_2016:12_Publication:Pictures:Seismicity:GIMP:Compl_MT_Full_Ca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2011680"/>
                          </a:xfrm>
                          <a:prstGeom prst="rect">
                            <a:avLst/>
                          </a:prstGeom>
                          <a:noFill/>
                          <a:ln>
                            <a:noFill/>
                          </a:ln>
                        </pic:spPr>
                      </pic:pic>
                    </a:graphicData>
                  </a:graphic>
                </wp:inline>
              </w:drawing>
            </w:r>
          </w:p>
        </w:tc>
      </w:tr>
    </w:tbl>
    <w:p w14:paraId="2E3C1ACC" w14:textId="77777777" w:rsidR="00F26255" w:rsidRDefault="00F26255">
      <w:pPr>
        <w:rPr>
          <w:rFonts w:ascii="TitilliumText22L Light" w:hAnsi="TitilliumText22L Light" w:cs="Arial"/>
          <w:color w:val="000000"/>
          <w:sz w:val="22"/>
          <w:szCs w:val="22"/>
          <w:lang w:val="en-US"/>
        </w:rPr>
      </w:pPr>
    </w:p>
    <w:p w14:paraId="3C6622EE" w14:textId="179A5C20" w:rsidR="0099690B" w:rsidRPr="00CA7FAF" w:rsidRDefault="00AA1005" w:rsidP="0038128E">
      <w:pPr>
        <w:jc w:val="both"/>
        <w:rPr>
          <w:rFonts w:ascii="TitilliumText22L Light" w:hAnsi="TitilliumText22L Light" w:cs="Arial"/>
          <w:color w:val="000000"/>
          <w:sz w:val="22"/>
          <w:szCs w:val="22"/>
          <w:lang w:val="en-US"/>
        </w:rPr>
      </w:pPr>
      <w:r>
        <w:rPr>
          <w:rFonts w:ascii="TitilliumText22L Light" w:hAnsi="TitilliumText22L Light" w:cs="Arial"/>
          <w:color w:val="000000"/>
          <w:sz w:val="22"/>
          <w:szCs w:val="22"/>
          <w:lang w:val="en-US"/>
        </w:rPr>
        <w:t>Figure 3.</w:t>
      </w:r>
      <w:r w:rsidR="00F26255" w:rsidRPr="00F26255">
        <w:rPr>
          <w:rFonts w:ascii="TitilliumText22L Light" w:hAnsi="TitilliumText22L Light" w:cs="Arial"/>
          <w:color w:val="000000"/>
          <w:sz w:val="22"/>
          <w:szCs w:val="22"/>
          <w:lang w:val="en-US"/>
        </w:rPr>
        <w:t xml:space="preserve"> a) Gutenberg-Richter magnitude occurrence rel</w:t>
      </w:r>
      <w:r w:rsidR="00F26255">
        <w:rPr>
          <w:rFonts w:ascii="TitilliumText22L Light" w:hAnsi="TitilliumText22L Light" w:cs="Arial"/>
          <w:color w:val="000000"/>
          <w:sz w:val="22"/>
          <w:szCs w:val="22"/>
          <w:lang w:val="en-US"/>
        </w:rPr>
        <w:t xml:space="preserve">ation of the </w:t>
      </w:r>
      <w:proofErr w:type="spellStart"/>
      <w:r w:rsidR="00F26255">
        <w:rPr>
          <w:rFonts w:ascii="TitilliumText22L Light" w:hAnsi="TitilliumText22L Light" w:cs="Arial"/>
          <w:color w:val="000000"/>
          <w:sz w:val="22"/>
          <w:szCs w:val="22"/>
          <w:lang w:val="en-US"/>
        </w:rPr>
        <w:t>declustered</w:t>
      </w:r>
      <w:proofErr w:type="spellEnd"/>
      <w:r w:rsidR="00F26255">
        <w:rPr>
          <w:rFonts w:ascii="TitilliumText22L Light" w:hAnsi="TitilliumText22L Light" w:cs="Arial"/>
          <w:color w:val="000000"/>
          <w:sz w:val="22"/>
          <w:szCs w:val="22"/>
          <w:lang w:val="en-US"/>
        </w:rPr>
        <w:t xml:space="preserve"> SSA catalogue</w:t>
      </w:r>
      <w:r w:rsidR="00F26255" w:rsidRPr="00F26255">
        <w:rPr>
          <w:rFonts w:ascii="TitilliumText22L Light" w:hAnsi="TitilliumText22L Light" w:cs="Arial"/>
          <w:color w:val="000000"/>
          <w:sz w:val="22"/>
          <w:szCs w:val="22"/>
          <w:lang w:val="en-US"/>
        </w:rPr>
        <w:t>. Red solid line and grey histogram are the fitted relation, while symbols represents observer rates (cumulative and incremental) for discrete magnitude bins. b) Corresponding catalogue completeness: on the background (with normalized scale) is the distribution of annual rates computed for discrete time windows (5 years), while in red is the time completeness table. Magnitude bins are discretized as in a).</w:t>
      </w:r>
      <w:r w:rsidR="0099690B">
        <w:rPr>
          <w:rFonts w:ascii="TitilliumText22L Light" w:hAnsi="TitilliumText22L Light" w:cs="Arial"/>
          <w:color w:val="000000"/>
          <w:sz w:val="22"/>
          <w:szCs w:val="22"/>
          <w:lang w:val="en-US"/>
        </w:rPr>
        <w:br w:type="page"/>
      </w:r>
    </w:p>
    <w:p w14:paraId="12D94CC2" w14:textId="77777777" w:rsidR="0099690B" w:rsidRPr="00CA7FAF" w:rsidRDefault="0099690B" w:rsidP="0099690B">
      <w:pPr>
        <w:spacing w:after="200" w:line="276" w:lineRule="auto"/>
        <w:jc w:val="center"/>
        <w:rPr>
          <w:rFonts w:ascii="TitilliumText22L Light" w:hAnsi="TitilliumText22L Light" w:cs="Arial"/>
          <w:color w:val="000000"/>
          <w:sz w:val="22"/>
          <w:szCs w:val="22"/>
          <w:lang w:val="en-US"/>
        </w:rPr>
      </w:pPr>
      <w:r w:rsidRPr="00CA7FAF">
        <w:rPr>
          <w:rFonts w:ascii="TitilliumText22L Light" w:hAnsi="TitilliumText22L Light" w:cs="Times"/>
          <w:noProof/>
          <w:sz w:val="22"/>
          <w:szCs w:val="22"/>
          <w:lang w:val="en-US"/>
        </w:rPr>
        <w:drawing>
          <wp:inline distT="0" distB="0" distL="0" distR="0" wp14:anchorId="19AB06F2" wp14:editId="513631E7">
            <wp:extent cx="3494230" cy="3740618"/>
            <wp:effectExtent l="0" t="0" r="11430" b="0"/>
            <wp:docPr id="21" name="Picture 21" descr="Macintosh HD:Users:valeriopoggi:GDrive:GEM_Projects:SSA_Hazard_2016:12_Publication:Pictures:HazardMaps:SSA_HAZMAP_MEAN_POE0.1_S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aleriopoggi:GDrive:GEM_Projects:SSA_Hazard_2016:12_Publication:Pictures:HazardMaps:SSA_HAZMAP_MEAN_POE0.1_SA(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4944" cy="3741382"/>
                    </a:xfrm>
                    <a:prstGeom prst="rect">
                      <a:avLst/>
                    </a:prstGeom>
                    <a:noFill/>
                    <a:ln>
                      <a:noFill/>
                    </a:ln>
                  </pic:spPr>
                </pic:pic>
              </a:graphicData>
            </a:graphic>
          </wp:inline>
        </w:drawing>
      </w:r>
    </w:p>
    <w:p w14:paraId="35625D88" w14:textId="32802014" w:rsidR="0099690B" w:rsidRPr="00CA7FAF" w:rsidRDefault="0099690B" w:rsidP="0099690B">
      <w:pPr>
        <w:spacing w:after="200" w:line="276" w:lineRule="auto"/>
        <w:jc w:val="center"/>
        <w:rPr>
          <w:rFonts w:ascii="TitilliumText22L Light" w:hAnsi="TitilliumText22L Light" w:cs="Arial"/>
          <w:color w:val="000000"/>
          <w:sz w:val="22"/>
          <w:szCs w:val="22"/>
          <w:lang w:val="en-US"/>
        </w:rPr>
      </w:pPr>
      <w:r w:rsidRPr="00CA7FAF">
        <w:rPr>
          <w:rFonts w:ascii="TitilliumText22L Light" w:hAnsi="TitilliumText22L Light" w:cs="Arial"/>
          <w:color w:val="000000"/>
          <w:sz w:val="22"/>
          <w:szCs w:val="22"/>
          <w:lang w:val="en-US"/>
        </w:rPr>
        <w:t xml:space="preserve">Figure </w:t>
      </w:r>
      <w:r w:rsidR="00DF7078">
        <w:rPr>
          <w:rFonts w:ascii="TitilliumText22L Light" w:hAnsi="TitilliumText22L Light" w:cs="Arial"/>
          <w:color w:val="000000"/>
          <w:sz w:val="22"/>
          <w:szCs w:val="22"/>
          <w:lang w:val="en-US"/>
        </w:rPr>
        <w:t>4</w:t>
      </w:r>
      <w:r w:rsidRPr="00CA7FAF">
        <w:rPr>
          <w:rFonts w:ascii="TitilliumText22L Light" w:hAnsi="TitilliumText22L Light" w:cs="Arial"/>
          <w:color w:val="000000"/>
          <w:sz w:val="22"/>
          <w:szCs w:val="22"/>
          <w:lang w:val="en-US"/>
        </w:rPr>
        <w:t xml:space="preserve">. </w:t>
      </w:r>
      <w:proofErr w:type="gramStart"/>
      <w:r w:rsidRPr="00CA7FAF">
        <w:rPr>
          <w:rFonts w:ascii="TitilliumText22L Light" w:hAnsi="TitilliumText22L Light" w:cs="Arial"/>
          <w:color w:val="000000"/>
          <w:sz w:val="22"/>
          <w:szCs w:val="22"/>
          <w:lang w:val="en-US"/>
        </w:rPr>
        <w:t>Map of spectral acceleration (g) for 10% probability of exceedance in 50 years at 0.1s (10Hz).</w:t>
      </w:r>
      <w:proofErr w:type="gramEnd"/>
    </w:p>
    <w:p w14:paraId="310290A1" w14:textId="77777777" w:rsidR="0099690B" w:rsidRDefault="0099690B" w:rsidP="0099690B">
      <w:pPr>
        <w:spacing w:after="200" w:line="276" w:lineRule="auto"/>
        <w:jc w:val="both"/>
        <w:rPr>
          <w:rFonts w:ascii="TitilliumText22L Light" w:hAnsi="TitilliumText22L Light" w:cs="Arial"/>
          <w:color w:val="000000"/>
          <w:sz w:val="22"/>
          <w:szCs w:val="22"/>
          <w:lang w:val="en-US"/>
        </w:rPr>
      </w:pPr>
    </w:p>
    <w:p w14:paraId="61307AEB" w14:textId="77777777" w:rsidR="0099690B" w:rsidRPr="00CA7FAF" w:rsidRDefault="0099690B" w:rsidP="0099690B">
      <w:pPr>
        <w:spacing w:after="200" w:line="276" w:lineRule="auto"/>
        <w:jc w:val="both"/>
        <w:rPr>
          <w:rFonts w:ascii="TitilliumText22L Light" w:hAnsi="TitilliumText22L Light" w:cs="Arial"/>
          <w:color w:val="000000"/>
          <w:sz w:val="22"/>
          <w:szCs w:val="22"/>
          <w:lang w:val="en-US"/>
        </w:rPr>
      </w:pPr>
    </w:p>
    <w:p w14:paraId="4A7339C5" w14:textId="77777777" w:rsidR="0099690B" w:rsidRPr="00CA7FAF" w:rsidRDefault="0099690B" w:rsidP="0099690B">
      <w:pPr>
        <w:spacing w:after="200" w:line="276" w:lineRule="auto"/>
        <w:jc w:val="center"/>
        <w:rPr>
          <w:rFonts w:ascii="TitilliumText22L Light" w:hAnsi="TitilliumText22L Light" w:cs="Arial"/>
          <w:color w:val="000000"/>
          <w:sz w:val="22"/>
          <w:szCs w:val="22"/>
          <w:lang w:val="en-US"/>
        </w:rPr>
      </w:pPr>
      <w:r w:rsidRPr="00CA7FAF">
        <w:rPr>
          <w:rFonts w:ascii="TitilliumText22L Light" w:hAnsi="TitilliumText22L Light" w:cs="Times"/>
          <w:noProof/>
          <w:sz w:val="22"/>
          <w:szCs w:val="22"/>
          <w:lang w:val="en-US"/>
        </w:rPr>
        <w:drawing>
          <wp:inline distT="0" distB="0" distL="0" distR="0" wp14:anchorId="4E1C82FD" wp14:editId="36DA126E">
            <wp:extent cx="2514600" cy="2514600"/>
            <wp:effectExtent l="0" t="0" r="0" b="0"/>
            <wp:docPr id="5" name="Picture 5" descr="Macintosh HD:Users:valeriopoggi:GDrive:GEM_Projects:SSA_Hazard_2016:12_Publication:Pictures:HazardCurves:AddisAbaba_HC_Peri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aleriopoggi:GDrive:GEM_Projects:SSA_Hazard_2016:12_Publication:Pictures:HazardCurves:AddisAbaba_HC_Period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r w:rsidRPr="00CA7FAF">
        <w:rPr>
          <w:rFonts w:ascii="TitilliumText22L Light" w:hAnsi="TitilliumText22L Light" w:cs="Arial"/>
          <w:color w:val="000000"/>
          <w:sz w:val="22"/>
          <w:szCs w:val="22"/>
          <w:lang w:val="en-US"/>
        </w:rPr>
        <w:tab/>
      </w:r>
      <w:r w:rsidRPr="00CA7FAF">
        <w:rPr>
          <w:rFonts w:ascii="TitilliumText22L Light" w:hAnsi="TitilliumText22L Light" w:cs="Times"/>
          <w:noProof/>
          <w:sz w:val="22"/>
          <w:szCs w:val="22"/>
          <w:lang w:val="en-US"/>
        </w:rPr>
        <w:drawing>
          <wp:inline distT="0" distB="0" distL="0" distR="0" wp14:anchorId="6701DCBA" wp14:editId="4D7DB272">
            <wp:extent cx="2514600" cy="2514600"/>
            <wp:effectExtent l="0" t="0" r="0" b="0"/>
            <wp:docPr id="8" name="Picture 8" descr="Macintosh HD:Users:valeriopoggi:GDrive:GEM_Projects:SSA_Hazard_2016:12_Publication:Pictures:HazardCurves:Nairobi_HC_Peri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valeriopoggi:GDrive:GEM_Projects:SSA_Hazard_2016:12_Publication:Pictures:HazardCurves:Nairobi_HC_Period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p w14:paraId="417C06C5" w14:textId="648D3D28" w:rsidR="0099690B" w:rsidRPr="00CA7FAF" w:rsidRDefault="0099690B" w:rsidP="0099690B">
      <w:pPr>
        <w:spacing w:after="200" w:line="276" w:lineRule="auto"/>
        <w:jc w:val="center"/>
        <w:rPr>
          <w:rFonts w:ascii="TitilliumText22L Light" w:hAnsi="TitilliumText22L Light" w:cs="Arial"/>
          <w:color w:val="000000"/>
          <w:sz w:val="22"/>
          <w:szCs w:val="22"/>
          <w:lang w:val="en-US"/>
        </w:rPr>
      </w:pPr>
      <w:r w:rsidRPr="00CA7FAF">
        <w:rPr>
          <w:rFonts w:ascii="TitilliumText22L Light" w:hAnsi="TitilliumText22L Light" w:cs="Arial"/>
          <w:color w:val="000000"/>
          <w:sz w:val="22"/>
          <w:szCs w:val="22"/>
          <w:lang w:val="en-US"/>
        </w:rPr>
        <w:t xml:space="preserve">Figure </w:t>
      </w:r>
      <w:r w:rsidR="00DF7078">
        <w:rPr>
          <w:rFonts w:ascii="TitilliumText22L Light" w:hAnsi="TitilliumText22L Light" w:cs="Arial"/>
          <w:color w:val="000000"/>
          <w:sz w:val="22"/>
          <w:szCs w:val="22"/>
          <w:lang w:val="en-US"/>
        </w:rPr>
        <w:t>5</w:t>
      </w:r>
      <w:r w:rsidRPr="00CA7FAF">
        <w:rPr>
          <w:rFonts w:ascii="TitilliumText22L Light" w:hAnsi="TitilliumText22L Light" w:cs="Arial"/>
          <w:color w:val="000000"/>
          <w:sz w:val="22"/>
          <w:szCs w:val="22"/>
          <w:lang w:val="en-US"/>
        </w:rPr>
        <w:t>. Mean hazard curves computed for a range of spectral periods, including PGA (in red), for two representative African capitals.</w:t>
      </w:r>
    </w:p>
    <w:p w14:paraId="3DC2DC81" w14:textId="77777777" w:rsidR="0099690B" w:rsidRDefault="0099690B" w:rsidP="002D5470">
      <w:pPr>
        <w:spacing w:after="200" w:line="276" w:lineRule="auto"/>
        <w:jc w:val="both"/>
        <w:rPr>
          <w:rFonts w:ascii="TitilliumText22L Light" w:hAnsi="TitilliumText22L Light" w:cs="Arial"/>
          <w:sz w:val="22"/>
          <w:szCs w:val="22"/>
        </w:rPr>
      </w:pPr>
    </w:p>
    <w:p w14:paraId="4C02D35B" w14:textId="1BE872A6" w:rsidR="0099690B" w:rsidRPr="00CA7FAF" w:rsidRDefault="0099690B" w:rsidP="0099690B">
      <w:pPr>
        <w:spacing w:after="200" w:line="276" w:lineRule="auto"/>
        <w:jc w:val="center"/>
        <w:rPr>
          <w:rFonts w:ascii="TitilliumText22L Light" w:hAnsi="TitilliumText22L Light" w:cs="Arial"/>
          <w:color w:val="000000"/>
          <w:sz w:val="22"/>
          <w:szCs w:val="22"/>
          <w:lang w:val="en-US"/>
        </w:rPr>
      </w:pPr>
      <w:r w:rsidRPr="00CA7FAF">
        <w:rPr>
          <w:rFonts w:ascii="TitilliumText22L Light" w:hAnsi="TitilliumText22L Light" w:cs="Arial"/>
          <w:noProof/>
          <w:color w:val="000000"/>
          <w:sz w:val="22"/>
          <w:szCs w:val="22"/>
          <w:lang w:val="en-US"/>
        </w:rPr>
        <w:drawing>
          <wp:inline distT="0" distB="0" distL="0" distR="0" wp14:anchorId="147411E0" wp14:editId="43DE7453">
            <wp:extent cx="3220770" cy="3513708"/>
            <wp:effectExtent l="0" t="0" r="5080" b="0"/>
            <wp:docPr id="2" name="Picture 2" descr="Macintosh HD:Users:valeriopoggi:GDrive:GEM_Projects:SSA_Hazard_2016:01_Documents:Meetings:SSA_Addis_Ababa:SSA_Final_Event:Pictures:Strain:str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opoggi:GDrive:GEM_Projects:SSA_Hazard_2016:01_Documents:Meetings:SSA_Addis_Ababa:SSA_Final_Event:Pictures:Strain:strai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1459" cy="3514460"/>
                    </a:xfrm>
                    <a:prstGeom prst="rect">
                      <a:avLst/>
                    </a:prstGeom>
                    <a:noFill/>
                    <a:ln>
                      <a:noFill/>
                    </a:ln>
                  </pic:spPr>
                </pic:pic>
              </a:graphicData>
            </a:graphic>
          </wp:inline>
        </w:drawing>
      </w:r>
    </w:p>
    <w:p w14:paraId="23732C37" w14:textId="7B754E36" w:rsidR="0099690B" w:rsidRPr="00CA7FAF" w:rsidRDefault="0099690B" w:rsidP="0099690B">
      <w:pPr>
        <w:spacing w:after="200" w:line="276" w:lineRule="auto"/>
        <w:jc w:val="center"/>
        <w:rPr>
          <w:rFonts w:ascii="TitilliumText22L Light" w:hAnsi="TitilliumText22L Light" w:cs="Arial"/>
          <w:color w:val="000000"/>
          <w:sz w:val="22"/>
          <w:szCs w:val="22"/>
          <w:lang w:val="en-US"/>
        </w:rPr>
      </w:pPr>
      <w:r w:rsidRPr="00CA7FAF">
        <w:rPr>
          <w:rFonts w:ascii="TitilliumText22L Light" w:hAnsi="TitilliumText22L Light" w:cs="Arial"/>
          <w:color w:val="000000"/>
          <w:sz w:val="22"/>
          <w:szCs w:val="22"/>
          <w:lang w:val="en-US"/>
        </w:rPr>
        <w:t xml:space="preserve">Figure </w:t>
      </w:r>
      <w:r w:rsidR="00DF7078">
        <w:rPr>
          <w:rFonts w:ascii="TitilliumText22L Light" w:hAnsi="TitilliumText22L Light" w:cs="Arial"/>
          <w:color w:val="000000"/>
          <w:sz w:val="22"/>
          <w:szCs w:val="22"/>
          <w:lang w:val="en-US"/>
        </w:rPr>
        <w:t>6</w:t>
      </w:r>
      <w:r w:rsidRPr="00CA7FAF">
        <w:rPr>
          <w:rFonts w:ascii="TitilliumText22L Light" w:hAnsi="TitilliumText22L Light" w:cs="Arial"/>
          <w:color w:val="000000"/>
          <w:sz w:val="22"/>
          <w:szCs w:val="22"/>
          <w:lang w:val="en-US"/>
        </w:rPr>
        <w:t xml:space="preserve">. Second invariant of strain rate tensor of </w:t>
      </w:r>
      <w:proofErr w:type="spellStart"/>
      <w:r w:rsidRPr="00CA7FAF">
        <w:rPr>
          <w:rFonts w:ascii="TitilliumText22L Light" w:hAnsi="TitilliumText22L Light" w:cs="Arial"/>
          <w:color w:val="000000"/>
          <w:sz w:val="22"/>
          <w:szCs w:val="22"/>
          <w:lang w:val="en-US"/>
        </w:rPr>
        <w:t>Saria</w:t>
      </w:r>
      <w:proofErr w:type="spellEnd"/>
      <w:r w:rsidRPr="00CA7FAF">
        <w:rPr>
          <w:rFonts w:ascii="TitilliumText22L Light" w:hAnsi="TitilliumText22L Light" w:cs="Arial"/>
          <w:color w:val="000000"/>
          <w:sz w:val="22"/>
          <w:szCs w:val="22"/>
          <w:lang w:val="en-US"/>
        </w:rPr>
        <w:t xml:space="preserve"> et al. (2015) model.</w:t>
      </w:r>
    </w:p>
    <w:p w14:paraId="77920831" w14:textId="77777777" w:rsidR="0099690B" w:rsidRDefault="0099690B" w:rsidP="002D5470">
      <w:pPr>
        <w:spacing w:after="200" w:line="276" w:lineRule="auto"/>
        <w:jc w:val="both"/>
        <w:rPr>
          <w:rFonts w:ascii="TitilliumText22L Light" w:hAnsi="TitilliumText22L Light" w:cs="Arial"/>
          <w:sz w:val="22"/>
          <w:szCs w:val="22"/>
        </w:rPr>
      </w:pPr>
    </w:p>
    <w:p w14:paraId="38513D02" w14:textId="77777777" w:rsidR="0099690B" w:rsidRDefault="0099690B" w:rsidP="002D5470">
      <w:pPr>
        <w:spacing w:after="200" w:line="276" w:lineRule="auto"/>
        <w:jc w:val="both"/>
        <w:rPr>
          <w:rFonts w:ascii="TitilliumText22L Light" w:hAnsi="TitilliumText22L Light" w:cs="Arial"/>
          <w:sz w:val="22"/>
          <w:szCs w:val="22"/>
        </w:rPr>
      </w:pPr>
    </w:p>
    <w:p w14:paraId="1F9E3D49" w14:textId="77777777" w:rsidR="0099690B" w:rsidRDefault="0099690B" w:rsidP="002D5470">
      <w:pPr>
        <w:spacing w:after="200" w:line="276" w:lineRule="auto"/>
        <w:jc w:val="both"/>
        <w:rPr>
          <w:rFonts w:ascii="TitilliumText22L Light" w:hAnsi="TitilliumText22L Light" w:cs="Arial"/>
          <w:sz w:val="22"/>
          <w:szCs w:val="22"/>
        </w:rPr>
      </w:pPr>
    </w:p>
    <w:p w14:paraId="14A1DEE8" w14:textId="77777777" w:rsidR="0099690B" w:rsidRPr="00CA7FAF" w:rsidRDefault="0099690B" w:rsidP="002D5470">
      <w:pPr>
        <w:spacing w:after="200" w:line="276" w:lineRule="auto"/>
        <w:jc w:val="both"/>
        <w:rPr>
          <w:rFonts w:ascii="TitilliumText22L Light" w:hAnsi="TitilliumText22L Light"/>
          <w:sz w:val="22"/>
          <w:szCs w:val="22"/>
        </w:rPr>
      </w:pPr>
    </w:p>
    <w:sectPr w:rsidR="0099690B" w:rsidRPr="00CA7FAF" w:rsidSect="00983151">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tilliumText22L Light">
    <w:panose1 w:val="00000000000000000000"/>
    <w:charset w:val="00"/>
    <w:family w:val="auto"/>
    <w:pitch w:val="variable"/>
    <w:sig w:usb0="A00000EF" w:usb1="0000004B" w:usb2="00000000" w:usb3="00000000" w:csb0="0000019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354D37"/>
    <w:multiLevelType w:val="hybridMultilevel"/>
    <w:tmpl w:val="C12AF678"/>
    <w:lvl w:ilvl="0" w:tplc="4DAE8E0A">
      <w:start w:val="25"/>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trackRevisions/>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61F"/>
    <w:rsid w:val="0000448A"/>
    <w:rsid w:val="000136B4"/>
    <w:rsid w:val="00034BEF"/>
    <w:rsid w:val="00041A30"/>
    <w:rsid w:val="00055F16"/>
    <w:rsid w:val="000753D9"/>
    <w:rsid w:val="00085C45"/>
    <w:rsid w:val="00086663"/>
    <w:rsid w:val="000B36E6"/>
    <w:rsid w:val="000B56B1"/>
    <w:rsid w:val="000D0D17"/>
    <w:rsid w:val="000D73A3"/>
    <w:rsid w:val="000F00C9"/>
    <w:rsid w:val="000F5100"/>
    <w:rsid w:val="00107F3F"/>
    <w:rsid w:val="0011616B"/>
    <w:rsid w:val="001176AA"/>
    <w:rsid w:val="00124BAB"/>
    <w:rsid w:val="00125CC2"/>
    <w:rsid w:val="00131D78"/>
    <w:rsid w:val="00146BA8"/>
    <w:rsid w:val="00151778"/>
    <w:rsid w:val="00151E35"/>
    <w:rsid w:val="001562D9"/>
    <w:rsid w:val="00164EA3"/>
    <w:rsid w:val="001669E9"/>
    <w:rsid w:val="0017180B"/>
    <w:rsid w:val="00177E01"/>
    <w:rsid w:val="00180A1D"/>
    <w:rsid w:val="001A4C74"/>
    <w:rsid w:val="001B2ACB"/>
    <w:rsid w:val="001B367C"/>
    <w:rsid w:val="001B4ADF"/>
    <w:rsid w:val="001C605E"/>
    <w:rsid w:val="001D3F44"/>
    <w:rsid w:val="001E1B60"/>
    <w:rsid w:val="001E3680"/>
    <w:rsid w:val="001F3775"/>
    <w:rsid w:val="001F3E1A"/>
    <w:rsid w:val="002015A8"/>
    <w:rsid w:val="0020221E"/>
    <w:rsid w:val="0023086F"/>
    <w:rsid w:val="00274AD3"/>
    <w:rsid w:val="0029009C"/>
    <w:rsid w:val="002B538D"/>
    <w:rsid w:val="002D5470"/>
    <w:rsid w:val="002E05E9"/>
    <w:rsid w:val="002F600E"/>
    <w:rsid w:val="002F6057"/>
    <w:rsid w:val="00306D8C"/>
    <w:rsid w:val="003107D4"/>
    <w:rsid w:val="00315534"/>
    <w:rsid w:val="00325618"/>
    <w:rsid w:val="0032637D"/>
    <w:rsid w:val="003265A9"/>
    <w:rsid w:val="0033510C"/>
    <w:rsid w:val="00341B92"/>
    <w:rsid w:val="00365446"/>
    <w:rsid w:val="00377FF1"/>
    <w:rsid w:val="0038128E"/>
    <w:rsid w:val="00386A0C"/>
    <w:rsid w:val="003A5D63"/>
    <w:rsid w:val="003B6517"/>
    <w:rsid w:val="003C420E"/>
    <w:rsid w:val="003D00B7"/>
    <w:rsid w:val="003D03F7"/>
    <w:rsid w:val="003D328B"/>
    <w:rsid w:val="003D7F80"/>
    <w:rsid w:val="003F364C"/>
    <w:rsid w:val="003F4936"/>
    <w:rsid w:val="00400BC8"/>
    <w:rsid w:val="0041485B"/>
    <w:rsid w:val="00414B74"/>
    <w:rsid w:val="004212B0"/>
    <w:rsid w:val="00421680"/>
    <w:rsid w:val="0043677E"/>
    <w:rsid w:val="00442E8B"/>
    <w:rsid w:val="00450E68"/>
    <w:rsid w:val="0045200E"/>
    <w:rsid w:val="0046360F"/>
    <w:rsid w:val="00464D8A"/>
    <w:rsid w:val="004715E0"/>
    <w:rsid w:val="00480CDA"/>
    <w:rsid w:val="004A491A"/>
    <w:rsid w:val="004B0A7A"/>
    <w:rsid w:val="004B0B7B"/>
    <w:rsid w:val="004B78D5"/>
    <w:rsid w:val="004C640B"/>
    <w:rsid w:val="004C6639"/>
    <w:rsid w:val="004E187F"/>
    <w:rsid w:val="004E6FB6"/>
    <w:rsid w:val="00514AC8"/>
    <w:rsid w:val="00522B55"/>
    <w:rsid w:val="00537BDE"/>
    <w:rsid w:val="00544894"/>
    <w:rsid w:val="00546711"/>
    <w:rsid w:val="00567FF2"/>
    <w:rsid w:val="00590E04"/>
    <w:rsid w:val="005B296E"/>
    <w:rsid w:val="005B740F"/>
    <w:rsid w:val="005F36F5"/>
    <w:rsid w:val="006122EA"/>
    <w:rsid w:val="00613F14"/>
    <w:rsid w:val="006178EE"/>
    <w:rsid w:val="006615EC"/>
    <w:rsid w:val="00667D0C"/>
    <w:rsid w:val="006811EC"/>
    <w:rsid w:val="006A122E"/>
    <w:rsid w:val="006A7FA7"/>
    <w:rsid w:val="006C125E"/>
    <w:rsid w:val="006C3EBC"/>
    <w:rsid w:val="006C60C0"/>
    <w:rsid w:val="006E15F6"/>
    <w:rsid w:val="006E28FF"/>
    <w:rsid w:val="006E6286"/>
    <w:rsid w:val="006F183A"/>
    <w:rsid w:val="006F2970"/>
    <w:rsid w:val="00703300"/>
    <w:rsid w:val="00710061"/>
    <w:rsid w:val="00710634"/>
    <w:rsid w:val="007131C5"/>
    <w:rsid w:val="00715617"/>
    <w:rsid w:val="0072072B"/>
    <w:rsid w:val="0072347D"/>
    <w:rsid w:val="00733D49"/>
    <w:rsid w:val="00744192"/>
    <w:rsid w:val="00744E12"/>
    <w:rsid w:val="00746A5F"/>
    <w:rsid w:val="007507EC"/>
    <w:rsid w:val="00766C3D"/>
    <w:rsid w:val="007766A2"/>
    <w:rsid w:val="00784010"/>
    <w:rsid w:val="0079000E"/>
    <w:rsid w:val="0079140C"/>
    <w:rsid w:val="00794C08"/>
    <w:rsid w:val="007B46E0"/>
    <w:rsid w:val="007B6C69"/>
    <w:rsid w:val="007C1238"/>
    <w:rsid w:val="007C57F7"/>
    <w:rsid w:val="007D1616"/>
    <w:rsid w:val="007D3446"/>
    <w:rsid w:val="007D6F97"/>
    <w:rsid w:val="007F22AE"/>
    <w:rsid w:val="007F24EA"/>
    <w:rsid w:val="007F2510"/>
    <w:rsid w:val="008012BE"/>
    <w:rsid w:val="008103FD"/>
    <w:rsid w:val="008407DD"/>
    <w:rsid w:val="00840848"/>
    <w:rsid w:val="008429D6"/>
    <w:rsid w:val="00850D72"/>
    <w:rsid w:val="00863319"/>
    <w:rsid w:val="00866566"/>
    <w:rsid w:val="008712FD"/>
    <w:rsid w:val="00871A89"/>
    <w:rsid w:val="00881212"/>
    <w:rsid w:val="00883F6D"/>
    <w:rsid w:val="00885590"/>
    <w:rsid w:val="008969A3"/>
    <w:rsid w:val="008A1C5C"/>
    <w:rsid w:val="008C0FD5"/>
    <w:rsid w:val="008C387E"/>
    <w:rsid w:val="008C44B8"/>
    <w:rsid w:val="008C49B8"/>
    <w:rsid w:val="008D2795"/>
    <w:rsid w:val="008D4479"/>
    <w:rsid w:val="008D7D66"/>
    <w:rsid w:val="008F3A22"/>
    <w:rsid w:val="009168A0"/>
    <w:rsid w:val="009178E7"/>
    <w:rsid w:val="009219D4"/>
    <w:rsid w:val="009505B4"/>
    <w:rsid w:val="00963D32"/>
    <w:rsid w:val="00967B9A"/>
    <w:rsid w:val="00983151"/>
    <w:rsid w:val="00993B3B"/>
    <w:rsid w:val="0099690B"/>
    <w:rsid w:val="009975D8"/>
    <w:rsid w:val="009A5FCB"/>
    <w:rsid w:val="009C3D2A"/>
    <w:rsid w:val="009D1618"/>
    <w:rsid w:val="009D56FC"/>
    <w:rsid w:val="009F33F7"/>
    <w:rsid w:val="009F47D6"/>
    <w:rsid w:val="00A060EC"/>
    <w:rsid w:val="00A603A1"/>
    <w:rsid w:val="00A652BE"/>
    <w:rsid w:val="00A80B07"/>
    <w:rsid w:val="00A82379"/>
    <w:rsid w:val="00A93680"/>
    <w:rsid w:val="00A96669"/>
    <w:rsid w:val="00A96825"/>
    <w:rsid w:val="00AA1005"/>
    <w:rsid w:val="00AA630F"/>
    <w:rsid w:val="00AA7E1A"/>
    <w:rsid w:val="00AB1F04"/>
    <w:rsid w:val="00AB2A0C"/>
    <w:rsid w:val="00AB751E"/>
    <w:rsid w:val="00AC7A52"/>
    <w:rsid w:val="00AD5959"/>
    <w:rsid w:val="00AE628C"/>
    <w:rsid w:val="00B160F7"/>
    <w:rsid w:val="00B2082F"/>
    <w:rsid w:val="00B2453D"/>
    <w:rsid w:val="00B255A4"/>
    <w:rsid w:val="00B532E2"/>
    <w:rsid w:val="00B8700C"/>
    <w:rsid w:val="00BB0483"/>
    <w:rsid w:val="00BB5A33"/>
    <w:rsid w:val="00BC0254"/>
    <w:rsid w:val="00BC3710"/>
    <w:rsid w:val="00BC4C5A"/>
    <w:rsid w:val="00BD1806"/>
    <w:rsid w:val="00BD40D2"/>
    <w:rsid w:val="00BD46C5"/>
    <w:rsid w:val="00BE6C70"/>
    <w:rsid w:val="00C17FF9"/>
    <w:rsid w:val="00C25C58"/>
    <w:rsid w:val="00C423E6"/>
    <w:rsid w:val="00C45ED8"/>
    <w:rsid w:val="00C51CDF"/>
    <w:rsid w:val="00C52A21"/>
    <w:rsid w:val="00C532C5"/>
    <w:rsid w:val="00C5721C"/>
    <w:rsid w:val="00C73233"/>
    <w:rsid w:val="00C738D1"/>
    <w:rsid w:val="00C75006"/>
    <w:rsid w:val="00C7557A"/>
    <w:rsid w:val="00C75BE6"/>
    <w:rsid w:val="00C84D67"/>
    <w:rsid w:val="00C910A1"/>
    <w:rsid w:val="00CA7FAF"/>
    <w:rsid w:val="00CB48FA"/>
    <w:rsid w:val="00CD2D1C"/>
    <w:rsid w:val="00CD6C33"/>
    <w:rsid w:val="00D015F4"/>
    <w:rsid w:val="00D160D7"/>
    <w:rsid w:val="00D30152"/>
    <w:rsid w:val="00D534E5"/>
    <w:rsid w:val="00D659F0"/>
    <w:rsid w:val="00D7361F"/>
    <w:rsid w:val="00D75573"/>
    <w:rsid w:val="00D85165"/>
    <w:rsid w:val="00D85B68"/>
    <w:rsid w:val="00D91412"/>
    <w:rsid w:val="00DE6B7E"/>
    <w:rsid w:val="00DF18CE"/>
    <w:rsid w:val="00DF7078"/>
    <w:rsid w:val="00E030FA"/>
    <w:rsid w:val="00E30B90"/>
    <w:rsid w:val="00E3141F"/>
    <w:rsid w:val="00E6717A"/>
    <w:rsid w:val="00E80BB0"/>
    <w:rsid w:val="00E81DF6"/>
    <w:rsid w:val="00E83B4B"/>
    <w:rsid w:val="00E876A0"/>
    <w:rsid w:val="00E9136C"/>
    <w:rsid w:val="00E91A76"/>
    <w:rsid w:val="00E9214A"/>
    <w:rsid w:val="00E95A3C"/>
    <w:rsid w:val="00EC6EB6"/>
    <w:rsid w:val="00ED2556"/>
    <w:rsid w:val="00ED27DF"/>
    <w:rsid w:val="00F03DB1"/>
    <w:rsid w:val="00F12452"/>
    <w:rsid w:val="00F16D0A"/>
    <w:rsid w:val="00F26255"/>
    <w:rsid w:val="00F329E4"/>
    <w:rsid w:val="00F41DDB"/>
    <w:rsid w:val="00F47F00"/>
    <w:rsid w:val="00F7452A"/>
    <w:rsid w:val="00F92A91"/>
    <w:rsid w:val="00F963B2"/>
    <w:rsid w:val="00FA4282"/>
    <w:rsid w:val="00FB1085"/>
    <w:rsid w:val="00FB6EB2"/>
    <w:rsid w:val="00FD5C5B"/>
    <w:rsid w:val="00FD5E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A5A0B9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85C45"/>
    <w:pPr>
      <w:spacing w:before="100" w:beforeAutospacing="1" w:after="100" w:afterAutospacing="1"/>
    </w:pPr>
    <w:rPr>
      <w:rFonts w:ascii="Times" w:hAnsi="Times" w:cs="Times New Roman"/>
      <w:sz w:val="20"/>
      <w:szCs w:val="20"/>
      <w:lang w:val="en-US"/>
    </w:rPr>
  </w:style>
  <w:style w:type="paragraph" w:styleId="BalloonText">
    <w:name w:val="Balloon Text"/>
    <w:basedOn w:val="Normal"/>
    <w:link w:val="BalloonTextChar"/>
    <w:uiPriority w:val="99"/>
    <w:semiHidden/>
    <w:unhideWhenUsed/>
    <w:rsid w:val="00D85B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5B68"/>
    <w:rPr>
      <w:rFonts w:ascii="Lucida Grande" w:hAnsi="Lucida Grande" w:cs="Lucida Grande"/>
      <w:sz w:val="18"/>
      <w:szCs w:val="18"/>
      <w:lang w:val="en-GB"/>
    </w:rPr>
  </w:style>
  <w:style w:type="character" w:styleId="CommentReference">
    <w:name w:val="annotation reference"/>
    <w:basedOn w:val="DefaultParagraphFont"/>
    <w:uiPriority w:val="99"/>
    <w:semiHidden/>
    <w:unhideWhenUsed/>
    <w:rsid w:val="00C75BE6"/>
    <w:rPr>
      <w:sz w:val="18"/>
      <w:szCs w:val="18"/>
    </w:rPr>
  </w:style>
  <w:style w:type="paragraph" w:styleId="CommentText">
    <w:name w:val="annotation text"/>
    <w:basedOn w:val="Normal"/>
    <w:link w:val="CommentTextChar"/>
    <w:uiPriority w:val="99"/>
    <w:semiHidden/>
    <w:unhideWhenUsed/>
    <w:rsid w:val="00C75BE6"/>
  </w:style>
  <w:style w:type="character" w:customStyle="1" w:styleId="CommentTextChar">
    <w:name w:val="Comment Text Char"/>
    <w:basedOn w:val="DefaultParagraphFont"/>
    <w:link w:val="CommentText"/>
    <w:uiPriority w:val="99"/>
    <w:semiHidden/>
    <w:rsid w:val="00C75BE6"/>
    <w:rPr>
      <w:lang w:val="en-GB"/>
    </w:rPr>
  </w:style>
  <w:style w:type="paragraph" w:styleId="CommentSubject">
    <w:name w:val="annotation subject"/>
    <w:basedOn w:val="CommentText"/>
    <w:next w:val="CommentText"/>
    <w:link w:val="CommentSubjectChar"/>
    <w:uiPriority w:val="99"/>
    <w:semiHidden/>
    <w:unhideWhenUsed/>
    <w:rsid w:val="00C75BE6"/>
    <w:rPr>
      <w:b/>
      <w:bCs/>
      <w:sz w:val="20"/>
      <w:szCs w:val="20"/>
    </w:rPr>
  </w:style>
  <w:style w:type="character" w:customStyle="1" w:styleId="CommentSubjectChar">
    <w:name w:val="Comment Subject Char"/>
    <w:basedOn w:val="CommentTextChar"/>
    <w:link w:val="CommentSubject"/>
    <w:uiPriority w:val="99"/>
    <w:semiHidden/>
    <w:rsid w:val="00C75BE6"/>
    <w:rPr>
      <w:b/>
      <w:bCs/>
      <w:sz w:val="20"/>
      <w:szCs w:val="20"/>
      <w:lang w:val="en-GB"/>
    </w:rPr>
  </w:style>
  <w:style w:type="character" w:styleId="Hyperlink">
    <w:name w:val="Hyperlink"/>
    <w:basedOn w:val="DefaultParagraphFont"/>
    <w:uiPriority w:val="99"/>
    <w:unhideWhenUsed/>
    <w:rsid w:val="000D0D17"/>
    <w:rPr>
      <w:color w:val="0000FF" w:themeColor="hyperlink"/>
      <w:u w:val="single"/>
    </w:rPr>
  </w:style>
  <w:style w:type="character" w:styleId="FollowedHyperlink">
    <w:name w:val="FollowedHyperlink"/>
    <w:basedOn w:val="DefaultParagraphFont"/>
    <w:uiPriority w:val="99"/>
    <w:semiHidden/>
    <w:unhideWhenUsed/>
    <w:rsid w:val="006122EA"/>
    <w:rPr>
      <w:color w:val="800080" w:themeColor="followedHyperlink"/>
      <w:u w:val="single"/>
    </w:rPr>
  </w:style>
  <w:style w:type="table" w:styleId="TableGrid">
    <w:name w:val="Table Grid"/>
    <w:basedOn w:val="TableNormal"/>
    <w:uiPriority w:val="1"/>
    <w:rsid w:val="00C423E6"/>
    <w:rPr>
      <w:sz w:val="22"/>
      <w:szCs w:val="22"/>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85C45"/>
    <w:pPr>
      <w:spacing w:before="100" w:beforeAutospacing="1" w:after="100" w:afterAutospacing="1"/>
    </w:pPr>
    <w:rPr>
      <w:rFonts w:ascii="Times" w:hAnsi="Times" w:cs="Times New Roman"/>
      <w:sz w:val="20"/>
      <w:szCs w:val="20"/>
      <w:lang w:val="en-US"/>
    </w:rPr>
  </w:style>
  <w:style w:type="paragraph" w:styleId="BalloonText">
    <w:name w:val="Balloon Text"/>
    <w:basedOn w:val="Normal"/>
    <w:link w:val="BalloonTextChar"/>
    <w:uiPriority w:val="99"/>
    <w:semiHidden/>
    <w:unhideWhenUsed/>
    <w:rsid w:val="00D85B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5B68"/>
    <w:rPr>
      <w:rFonts w:ascii="Lucida Grande" w:hAnsi="Lucida Grande" w:cs="Lucida Grande"/>
      <w:sz w:val="18"/>
      <w:szCs w:val="18"/>
      <w:lang w:val="en-GB"/>
    </w:rPr>
  </w:style>
  <w:style w:type="character" w:styleId="CommentReference">
    <w:name w:val="annotation reference"/>
    <w:basedOn w:val="DefaultParagraphFont"/>
    <w:uiPriority w:val="99"/>
    <w:semiHidden/>
    <w:unhideWhenUsed/>
    <w:rsid w:val="00C75BE6"/>
    <w:rPr>
      <w:sz w:val="18"/>
      <w:szCs w:val="18"/>
    </w:rPr>
  </w:style>
  <w:style w:type="paragraph" w:styleId="CommentText">
    <w:name w:val="annotation text"/>
    <w:basedOn w:val="Normal"/>
    <w:link w:val="CommentTextChar"/>
    <w:uiPriority w:val="99"/>
    <w:semiHidden/>
    <w:unhideWhenUsed/>
    <w:rsid w:val="00C75BE6"/>
  </w:style>
  <w:style w:type="character" w:customStyle="1" w:styleId="CommentTextChar">
    <w:name w:val="Comment Text Char"/>
    <w:basedOn w:val="DefaultParagraphFont"/>
    <w:link w:val="CommentText"/>
    <w:uiPriority w:val="99"/>
    <w:semiHidden/>
    <w:rsid w:val="00C75BE6"/>
    <w:rPr>
      <w:lang w:val="en-GB"/>
    </w:rPr>
  </w:style>
  <w:style w:type="paragraph" w:styleId="CommentSubject">
    <w:name w:val="annotation subject"/>
    <w:basedOn w:val="CommentText"/>
    <w:next w:val="CommentText"/>
    <w:link w:val="CommentSubjectChar"/>
    <w:uiPriority w:val="99"/>
    <w:semiHidden/>
    <w:unhideWhenUsed/>
    <w:rsid w:val="00C75BE6"/>
    <w:rPr>
      <w:b/>
      <w:bCs/>
      <w:sz w:val="20"/>
      <w:szCs w:val="20"/>
    </w:rPr>
  </w:style>
  <w:style w:type="character" w:customStyle="1" w:styleId="CommentSubjectChar">
    <w:name w:val="Comment Subject Char"/>
    <w:basedOn w:val="CommentTextChar"/>
    <w:link w:val="CommentSubject"/>
    <w:uiPriority w:val="99"/>
    <w:semiHidden/>
    <w:rsid w:val="00C75BE6"/>
    <w:rPr>
      <w:b/>
      <w:bCs/>
      <w:sz w:val="20"/>
      <w:szCs w:val="20"/>
      <w:lang w:val="en-GB"/>
    </w:rPr>
  </w:style>
  <w:style w:type="character" w:styleId="Hyperlink">
    <w:name w:val="Hyperlink"/>
    <w:basedOn w:val="DefaultParagraphFont"/>
    <w:uiPriority w:val="99"/>
    <w:unhideWhenUsed/>
    <w:rsid w:val="000D0D17"/>
    <w:rPr>
      <w:color w:val="0000FF" w:themeColor="hyperlink"/>
      <w:u w:val="single"/>
    </w:rPr>
  </w:style>
  <w:style w:type="character" w:styleId="FollowedHyperlink">
    <w:name w:val="FollowedHyperlink"/>
    <w:basedOn w:val="DefaultParagraphFont"/>
    <w:uiPriority w:val="99"/>
    <w:semiHidden/>
    <w:unhideWhenUsed/>
    <w:rsid w:val="006122EA"/>
    <w:rPr>
      <w:color w:val="800080" w:themeColor="followedHyperlink"/>
      <w:u w:val="single"/>
    </w:rPr>
  </w:style>
  <w:style w:type="table" w:styleId="TableGrid">
    <w:name w:val="Table Grid"/>
    <w:basedOn w:val="TableNormal"/>
    <w:uiPriority w:val="1"/>
    <w:rsid w:val="00C423E6"/>
    <w:rPr>
      <w:sz w:val="22"/>
      <w:szCs w:val="22"/>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819508">
      <w:bodyDiv w:val="1"/>
      <w:marLeft w:val="0"/>
      <w:marRight w:val="0"/>
      <w:marTop w:val="0"/>
      <w:marBottom w:val="0"/>
      <w:divBdr>
        <w:top w:val="none" w:sz="0" w:space="0" w:color="auto"/>
        <w:left w:val="none" w:sz="0" w:space="0" w:color="auto"/>
        <w:bottom w:val="none" w:sz="0" w:space="0" w:color="auto"/>
        <w:right w:val="none" w:sz="0" w:space="0" w:color="auto"/>
      </w:divBdr>
    </w:div>
    <w:div w:id="1146094720">
      <w:bodyDiv w:val="1"/>
      <w:marLeft w:val="0"/>
      <w:marRight w:val="0"/>
      <w:marTop w:val="0"/>
      <w:marBottom w:val="0"/>
      <w:divBdr>
        <w:top w:val="none" w:sz="0" w:space="0" w:color="auto"/>
        <w:left w:val="none" w:sz="0" w:space="0" w:color="auto"/>
        <w:bottom w:val="none" w:sz="0" w:space="0" w:color="auto"/>
        <w:right w:val="none" w:sz="0" w:space="0" w:color="auto"/>
      </w:divBdr>
    </w:div>
    <w:div w:id="213478846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Pages>
  <Words>2257</Words>
  <Characters>12870</Characters>
  <Application>Microsoft Macintosh Word</Application>
  <DocSecurity>0</DocSecurity>
  <Lines>107</Lines>
  <Paragraphs>30</Paragraphs>
  <ScaleCrop>false</ScaleCrop>
  <Company>GEM Foundation</Company>
  <LinksUpToDate>false</LinksUpToDate>
  <CharactersWithSpaces>15097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Valerio Poggi</dc:creator>
  <cp:keywords/>
  <dc:description/>
  <cp:lastModifiedBy>Valerio Poggi</cp:lastModifiedBy>
  <cp:revision>3</cp:revision>
  <dcterms:created xsi:type="dcterms:W3CDTF">2016-09-19T14:51:00Z</dcterms:created>
  <dcterms:modified xsi:type="dcterms:W3CDTF">2016-09-19T15:04:00Z</dcterms:modified>
</cp:coreProperties>
</file>